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DF007" w14:textId="257F4F81" w:rsidR="00E900E2" w:rsidRDefault="0048407C" w:rsidP="0048407C">
      <w:pPr>
        <w:jc w:val="center"/>
        <w:rPr>
          <w:rFonts w:asciiTheme="majorHAnsi" w:hAnsiTheme="majorHAnsi" w:cstheme="majorBidi"/>
          <w:color w:val="002060"/>
          <w:spacing w:val="-10"/>
          <w:kern w:val="28"/>
          <w:sz w:val="56"/>
          <w:szCs w:val="56"/>
        </w:rPr>
      </w:pPr>
      <w:r w:rsidRPr="0048407C">
        <w:rPr>
          <w:rFonts w:asciiTheme="majorHAnsi" w:hAnsiTheme="majorHAnsi" w:cstheme="majorBidi"/>
          <w:color w:val="002060"/>
          <w:spacing w:val="-10"/>
          <w:kern w:val="28"/>
          <w:sz w:val="56"/>
          <w:szCs w:val="56"/>
        </w:rPr>
        <w:t>Incident-to-Training Pipeline Protocol</w:t>
      </w:r>
    </w:p>
    <w:p w14:paraId="178ADAE4" w14:textId="77777777" w:rsidR="0048407C" w:rsidRDefault="0048407C" w:rsidP="0048407C">
      <w:pPr>
        <w:jc w:val="center"/>
      </w:pPr>
    </w:p>
    <w:tbl>
      <w:tblPr>
        <w:tblStyle w:val="GridTable4-Accent1"/>
        <w:tblW w:w="9360" w:type="dxa"/>
        <w:tblLook w:val="04A0" w:firstRow="1" w:lastRow="0" w:firstColumn="1" w:lastColumn="0" w:noHBand="0" w:noVBand="1"/>
      </w:tblPr>
      <w:tblGrid>
        <w:gridCol w:w="2800"/>
        <w:gridCol w:w="6560"/>
      </w:tblGrid>
      <w:tr w:rsidR="00E900E2" w14:paraId="47869937" w14:textId="77777777" w:rsidTr="00627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2FDE1DA7" w14:textId="77777777" w:rsidR="00E900E2" w:rsidRDefault="00E900E2" w:rsidP="00E900E2">
            <w:r>
              <w:t>Document Title</w:t>
            </w:r>
          </w:p>
        </w:tc>
        <w:tc>
          <w:tcPr>
            <w:tcW w:w="6560" w:type="dxa"/>
          </w:tcPr>
          <w:p w14:paraId="772452BA" w14:textId="10CE9CA2" w:rsidR="00E900E2" w:rsidRDefault="0048407C" w:rsidP="00E90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8407C">
              <w:t>Incident-to-Training Pipeline Protocol</w:t>
            </w:r>
          </w:p>
        </w:tc>
      </w:tr>
      <w:tr w:rsidR="00E900E2" w14:paraId="2A4ED370" w14:textId="77777777" w:rsidTr="00627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11B09F56" w14:textId="77777777" w:rsidR="00E900E2" w:rsidRDefault="00E900E2" w:rsidP="00E900E2">
            <w:r>
              <w:t>Document Owner</w:t>
            </w:r>
          </w:p>
        </w:tc>
        <w:tc>
          <w:tcPr>
            <w:tcW w:w="6560" w:type="dxa"/>
          </w:tcPr>
          <w:p w14:paraId="3FDD5D3D" w14:textId="77777777" w:rsidR="00E900E2" w:rsidRDefault="00E900E2" w:rsidP="00E90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GRC Director / CISO</w:t>
            </w:r>
          </w:p>
        </w:tc>
      </w:tr>
      <w:tr w:rsidR="00E900E2" w14:paraId="5DAB2042" w14:textId="77777777" w:rsidTr="006278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2D124735" w14:textId="77777777" w:rsidR="00E900E2" w:rsidRDefault="00E900E2" w:rsidP="00E900E2">
            <w:r>
              <w:t>Approval Authority</w:t>
            </w:r>
          </w:p>
        </w:tc>
        <w:tc>
          <w:tcPr>
            <w:tcW w:w="6560" w:type="dxa"/>
          </w:tcPr>
          <w:p w14:paraId="314275BA" w14:textId="69D0B01E" w:rsidR="00E900E2" w:rsidRDefault="00941C24" w:rsidP="00E90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GRC Director</w:t>
            </w:r>
          </w:p>
        </w:tc>
      </w:tr>
      <w:tr w:rsidR="00E900E2" w14:paraId="01A910E4" w14:textId="77777777" w:rsidTr="00627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09016CF4" w14:textId="77777777" w:rsidR="00E900E2" w:rsidRDefault="00E900E2" w:rsidP="00E900E2">
            <w:r>
              <w:t>Review Frequency</w:t>
            </w:r>
          </w:p>
        </w:tc>
        <w:tc>
          <w:tcPr>
            <w:tcW w:w="6560" w:type="dxa"/>
          </w:tcPr>
          <w:p w14:paraId="16BD927A" w14:textId="73DD43C4" w:rsidR="00E900E2" w:rsidRDefault="00045994" w:rsidP="00E90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Quarter / Year</w:t>
            </w:r>
          </w:p>
        </w:tc>
      </w:tr>
      <w:tr w:rsidR="00E900E2" w14:paraId="2A44220F" w14:textId="77777777" w:rsidTr="006278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4DF9A1A4" w14:textId="77777777" w:rsidR="00E900E2" w:rsidRDefault="00E900E2" w:rsidP="00E900E2">
            <w:r>
              <w:t>Classification</w:t>
            </w:r>
          </w:p>
        </w:tc>
        <w:tc>
          <w:tcPr>
            <w:tcW w:w="6560" w:type="dxa"/>
          </w:tcPr>
          <w:p w14:paraId="7CBAEDDD" w14:textId="77777777" w:rsidR="00E900E2" w:rsidRDefault="00E900E2" w:rsidP="00E90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Confidential — Internal Use Only</w:t>
            </w:r>
          </w:p>
        </w:tc>
      </w:tr>
      <w:tr w:rsidR="00941C24" w14:paraId="790A0853" w14:textId="77777777" w:rsidTr="00627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5441330D" w14:textId="65F5A209" w:rsidR="00941C24" w:rsidRDefault="00941C24" w:rsidP="00E900E2">
            <w:r>
              <w:t>Distribution</w:t>
            </w:r>
          </w:p>
        </w:tc>
        <w:tc>
          <w:tcPr>
            <w:tcW w:w="6560" w:type="dxa"/>
          </w:tcPr>
          <w:p w14:paraId="64505642" w14:textId="1125EC24" w:rsidR="00941C24" w:rsidRDefault="00941C24" w:rsidP="00E90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CISO, CRO, CCO, Audit Committee (semi-annual)</w:t>
            </w:r>
          </w:p>
        </w:tc>
      </w:tr>
      <w:tr w:rsidR="00E900E2" w14:paraId="4BE7C8F1" w14:textId="77777777" w:rsidTr="006278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12DB6D26" w14:textId="77777777" w:rsidR="00E900E2" w:rsidRDefault="00E900E2" w:rsidP="00E900E2">
            <w:r>
              <w:t>Regulatory Basis</w:t>
            </w:r>
          </w:p>
        </w:tc>
        <w:tc>
          <w:tcPr>
            <w:tcW w:w="6560" w:type="dxa"/>
          </w:tcPr>
          <w:p w14:paraId="06F6FA2A" w14:textId="77777777" w:rsidR="00E900E2" w:rsidRDefault="00E900E2" w:rsidP="00E90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NIST SP 800-50; HIPAA §164.308(a)(5); FFIEC IT Examination Handbook; NY DFS §500.14; PCI DSS v4.0 Req. 12.6</w:t>
            </w:r>
          </w:p>
        </w:tc>
      </w:tr>
      <w:tr w:rsidR="00E900E2" w14:paraId="70BA9A2F" w14:textId="77777777" w:rsidTr="00627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16149B6C" w14:textId="77777777" w:rsidR="00E900E2" w:rsidRDefault="00E900E2" w:rsidP="00E900E2">
            <w:r>
              <w:t>Version</w:t>
            </w:r>
          </w:p>
        </w:tc>
        <w:tc>
          <w:tcPr>
            <w:tcW w:w="6560" w:type="dxa"/>
          </w:tcPr>
          <w:p w14:paraId="2F9B37DB" w14:textId="77777777" w:rsidR="00E900E2" w:rsidRDefault="00E900E2" w:rsidP="00E90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E900E2" w14:paraId="304FFA6A" w14:textId="77777777" w:rsidTr="006278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41B9DDCF" w14:textId="77777777" w:rsidR="00E900E2" w:rsidRDefault="00E900E2" w:rsidP="00E900E2">
            <w:r>
              <w:t>Effective Date</w:t>
            </w:r>
          </w:p>
        </w:tc>
        <w:tc>
          <w:tcPr>
            <w:tcW w:w="6560" w:type="dxa"/>
          </w:tcPr>
          <w:p w14:paraId="127F14DC" w14:textId="77777777" w:rsidR="00E900E2" w:rsidRDefault="00E900E2" w:rsidP="00E90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[DATE]</w:t>
            </w:r>
          </w:p>
        </w:tc>
      </w:tr>
    </w:tbl>
    <w:p w14:paraId="07467AB8" w14:textId="77777777" w:rsidR="00E900E2" w:rsidRDefault="00E900E2" w:rsidP="00E900E2"/>
    <w:p w14:paraId="0773435F" w14:textId="7FEA0536" w:rsidR="00E900E2" w:rsidRDefault="00B72DF5" w:rsidP="00B72DF5">
      <w:pPr>
        <w:pStyle w:val="Heading1"/>
      </w:pPr>
      <w:r w:rsidRPr="00B72DF5">
        <w:lastRenderedPageBreak/>
        <w:t>Incident-to-Training Pipeline Protocol</w:t>
      </w:r>
    </w:p>
    <w:p w14:paraId="29515275" w14:textId="77777777" w:rsidR="00B72DF5" w:rsidRDefault="00B72DF5" w:rsidP="00B72DF5"/>
    <w:p w14:paraId="29FD8E0A" w14:textId="77777777" w:rsidR="001B75A0" w:rsidRDefault="001B75A0" w:rsidP="001B75A0">
      <w:pPr>
        <w:pStyle w:val="Heading2"/>
      </w:pPr>
      <w:r w:rsidRPr="001B75A0">
        <w:t>Purpose:</w:t>
      </w:r>
    </w:p>
    <w:p w14:paraId="0B83A9CC" w14:textId="0EAD50B3" w:rsidR="001B75A0" w:rsidRPr="001B75A0" w:rsidRDefault="001B75A0" w:rsidP="001B75A0">
      <w:r w:rsidRPr="001B75A0">
        <w:t>This protocol ensures that every security incident with a confirmed or suspected</w:t>
      </w:r>
      <w:r>
        <w:rPr>
          <w:rFonts w:ascii="Arial" w:hAnsi="Arial"/>
          <w:i/>
          <w:iCs/>
          <w:color w:val="404040"/>
        </w:rPr>
        <w:t xml:space="preserve"> </w:t>
      </w:r>
      <w:r w:rsidRPr="001B75A0">
        <w:t xml:space="preserve">human-behaviour element </w:t>
      </w:r>
      <w:proofErr w:type="gramStart"/>
      <w:r w:rsidRPr="001B75A0">
        <w:t>results</w:t>
      </w:r>
      <w:proofErr w:type="gramEnd"/>
      <w:r w:rsidRPr="001B75A0">
        <w:t xml:space="preserve"> in a structured, time-bound SETA </w:t>
      </w:r>
      <w:proofErr w:type="spellStart"/>
      <w:r w:rsidRPr="001B75A0">
        <w:t>programme</w:t>
      </w:r>
      <w:proofErr w:type="spellEnd"/>
      <w:r w:rsidRPr="001B75A0">
        <w:t xml:space="preserve"> update. It closes the structural gap between the Incident Response function and the SETA </w:t>
      </w:r>
      <w:proofErr w:type="spellStart"/>
      <w:r w:rsidRPr="001B75A0">
        <w:t>programme</w:t>
      </w:r>
      <w:proofErr w:type="spellEnd"/>
      <w:r w:rsidRPr="001B75A0">
        <w:t>, ensuring the workforce is trained against real threats, not only simulated ones.</w:t>
      </w:r>
    </w:p>
    <w:p w14:paraId="5515B586" w14:textId="77777777" w:rsidR="001B75A0" w:rsidRPr="001B75A0" w:rsidRDefault="001B75A0" w:rsidP="001B75A0"/>
    <w:p w14:paraId="69598D34" w14:textId="77777777" w:rsidR="001B75A0" w:rsidRDefault="001B75A0" w:rsidP="001B75A0">
      <w:pPr>
        <w:pStyle w:val="Heading2"/>
      </w:pPr>
      <w:r w:rsidRPr="001B75A0">
        <w:t>Trigger:</w:t>
      </w:r>
    </w:p>
    <w:p w14:paraId="3CE1BB48" w14:textId="28373784" w:rsidR="001B75A0" w:rsidRPr="001B75A0" w:rsidRDefault="001B75A0" w:rsidP="001B75A0">
      <w:r w:rsidRPr="001B75A0">
        <w:t>Any post-incident review finding that identifies human behaviour as an initial access vector, contributing factor, or failed control.</w:t>
      </w:r>
    </w:p>
    <w:p w14:paraId="3ADA9EAF" w14:textId="77777777" w:rsidR="001B75A0" w:rsidRPr="001B75A0" w:rsidRDefault="001B75A0" w:rsidP="001B75A0"/>
    <w:p w14:paraId="78BBB963" w14:textId="77777777" w:rsidR="001B75A0" w:rsidRDefault="001B75A0" w:rsidP="001B75A0">
      <w:pPr>
        <w:pStyle w:val="Heading2"/>
      </w:pPr>
      <w:r w:rsidRPr="001B75A0">
        <w:t>SLA:</w:t>
      </w:r>
    </w:p>
    <w:p w14:paraId="70067E22" w14:textId="0F317E02" w:rsidR="001B75A0" w:rsidRPr="001B75A0" w:rsidRDefault="001B75A0" w:rsidP="001B75A0">
      <w:r w:rsidRPr="001B75A0">
        <w:t>Training content deployed within 30 calendar days of PIR completion. No exceptions without written GRC Director and CCO approval.</w:t>
      </w:r>
    </w:p>
    <w:p w14:paraId="4421C108" w14:textId="77777777" w:rsidR="001B75A0" w:rsidRDefault="001B75A0" w:rsidP="001B75A0">
      <w:pPr>
        <w:spacing w:after="100"/>
      </w:pPr>
    </w:p>
    <w:p w14:paraId="5DF73249" w14:textId="2ED7E96C" w:rsidR="001B75A0" w:rsidRDefault="001B75A0" w:rsidP="001B75A0">
      <w:pPr>
        <w:pStyle w:val="Heading1"/>
      </w:pPr>
      <w:r>
        <w:lastRenderedPageBreak/>
        <w:t>Pipeline Workflow</w:t>
      </w:r>
    </w:p>
    <w:p w14:paraId="613B47CD" w14:textId="77777777" w:rsidR="001B75A0" w:rsidRPr="001B75A0" w:rsidRDefault="001B75A0" w:rsidP="001B75A0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47"/>
        <w:gridCol w:w="1606"/>
        <w:gridCol w:w="1535"/>
        <w:gridCol w:w="1126"/>
        <w:gridCol w:w="2453"/>
        <w:gridCol w:w="1549"/>
      </w:tblGrid>
      <w:tr w:rsidR="001B75A0" w14:paraId="3F3463AD" w14:textId="77777777" w:rsidTr="00F973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510750" w14:textId="77777777" w:rsidR="001B75A0" w:rsidRDefault="001B75A0" w:rsidP="006C02A5">
            <w:pPr>
              <w:jc w:val="center"/>
            </w:pPr>
            <w:r>
              <w:rPr>
                <w:rFonts w:ascii="Arial" w:hAnsi="Arial"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0" w:type="auto"/>
          </w:tcPr>
          <w:p w14:paraId="12927E61" w14:textId="77777777" w:rsidR="001B75A0" w:rsidRDefault="001B75A0" w:rsidP="006C02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0" w:type="auto"/>
          </w:tcPr>
          <w:p w14:paraId="1906FB86" w14:textId="77777777" w:rsidR="001B75A0" w:rsidRDefault="001B75A0" w:rsidP="006C02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  <w:sz w:val="20"/>
                <w:szCs w:val="20"/>
              </w:rPr>
              <w:t>Accountable Owner</w:t>
            </w:r>
          </w:p>
        </w:tc>
        <w:tc>
          <w:tcPr>
            <w:tcW w:w="0" w:type="auto"/>
          </w:tcPr>
          <w:p w14:paraId="3BEC0491" w14:textId="77777777" w:rsidR="001B75A0" w:rsidRDefault="001B75A0" w:rsidP="006C02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0" w:type="auto"/>
          </w:tcPr>
          <w:p w14:paraId="6878140D" w14:textId="77777777" w:rsidR="001B75A0" w:rsidRDefault="001B75A0" w:rsidP="006C02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  <w:sz w:val="20"/>
                <w:szCs w:val="20"/>
              </w:rPr>
              <w:t>Action Required</w:t>
            </w:r>
          </w:p>
        </w:tc>
        <w:tc>
          <w:tcPr>
            <w:tcW w:w="0" w:type="auto"/>
          </w:tcPr>
          <w:p w14:paraId="61A62DB5" w14:textId="77777777" w:rsidR="001B75A0" w:rsidRDefault="001B75A0" w:rsidP="006C02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  <w:sz w:val="20"/>
                <w:szCs w:val="20"/>
              </w:rPr>
              <w:t>Evidence Artefact</w:t>
            </w:r>
          </w:p>
        </w:tc>
      </w:tr>
      <w:tr w:rsidR="001B75A0" w14:paraId="2CADDE58" w14:textId="77777777" w:rsidTr="00F973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E0C567" w14:textId="77777777" w:rsidR="001B75A0" w:rsidRDefault="001B75A0" w:rsidP="006C02A5">
            <w:pPr>
              <w:jc w:val="center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STEP 1</w:t>
            </w:r>
          </w:p>
        </w:tc>
        <w:tc>
          <w:tcPr>
            <w:tcW w:w="0" w:type="auto"/>
          </w:tcPr>
          <w:p w14:paraId="6501ED49" w14:textId="77777777" w:rsidR="001B75A0" w:rsidRDefault="001B75A0" w:rsidP="006C0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bCs/>
                <w:color w:val="404040"/>
                <w:sz w:val="20"/>
                <w:szCs w:val="20"/>
              </w:rPr>
              <w:t>Incident Confirmed</w:t>
            </w:r>
          </w:p>
        </w:tc>
        <w:tc>
          <w:tcPr>
            <w:tcW w:w="0" w:type="auto"/>
          </w:tcPr>
          <w:p w14:paraId="15F906CD" w14:textId="77777777" w:rsidR="001B75A0" w:rsidRDefault="001B75A0" w:rsidP="006C0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 xml:space="preserve">IR </w:t>
            </w:r>
            <w:proofErr w:type="gramStart"/>
            <w:r>
              <w:rPr>
                <w:rFonts w:ascii="Arial" w:hAnsi="Arial"/>
                <w:color w:val="404040"/>
                <w:sz w:val="20"/>
                <w:szCs w:val="20"/>
              </w:rPr>
              <w:t>Lead</w:t>
            </w:r>
            <w:proofErr w:type="gramEnd"/>
          </w:p>
        </w:tc>
        <w:tc>
          <w:tcPr>
            <w:tcW w:w="0" w:type="auto"/>
          </w:tcPr>
          <w:p w14:paraId="0D86B4ED" w14:textId="77777777" w:rsidR="001B75A0" w:rsidRDefault="001B75A0" w:rsidP="006C0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Day 0</w:t>
            </w:r>
          </w:p>
        </w:tc>
        <w:tc>
          <w:tcPr>
            <w:tcW w:w="0" w:type="auto"/>
          </w:tcPr>
          <w:p w14:paraId="03D7A265" w14:textId="77777777" w:rsidR="001B75A0" w:rsidRDefault="001B75A0" w:rsidP="006C0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IR system flags incident. If human-behaviour element is suspected or confirmed, SETA Pipeline ticket is created in GRC platform automatically via integration.</w:t>
            </w:r>
          </w:p>
        </w:tc>
        <w:tc>
          <w:tcPr>
            <w:tcW w:w="0" w:type="auto"/>
          </w:tcPr>
          <w:p w14:paraId="027DBC4F" w14:textId="77777777" w:rsidR="001B75A0" w:rsidRDefault="001B75A0" w:rsidP="006C0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IR system; GRC platform (automated trigger)</w:t>
            </w:r>
          </w:p>
        </w:tc>
      </w:tr>
      <w:tr w:rsidR="001B75A0" w14:paraId="3D197EFE" w14:textId="77777777" w:rsidTr="00F973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379FED" w14:textId="77777777" w:rsidR="001B75A0" w:rsidRDefault="001B75A0" w:rsidP="006C02A5">
            <w:pPr>
              <w:jc w:val="center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STEP 2</w:t>
            </w:r>
          </w:p>
        </w:tc>
        <w:tc>
          <w:tcPr>
            <w:tcW w:w="0" w:type="auto"/>
          </w:tcPr>
          <w:p w14:paraId="61FF1C4A" w14:textId="77777777" w:rsidR="001B75A0" w:rsidRDefault="001B75A0" w:rsidP="006C0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bCs/>
                <w:color w:val="404040"/>
                <w:sz w:val="20"/>
                <w:szCs w:val="20"/>
              </w:rPr>
              <w:t>Post-Incident Review (PIR)</w:t>
            </w:r>
          </w:p>
        </w:tc>
        <w:tc>
          <w:tcPr>
            <w:tcW w:w="0" w:type="auto"/>
          </w:tcPr>
          <w:p w14:paraId="12ED30E1" w14:textId="77777777" w:rsidR="001B75A0" w:rsidRDefault="001B75A0" w:rsidP="006C0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 xml:space="preserve">IR </w:t>
            </w:r>
            <w:proofErr w:type="gramStart"/>
            <w:r>
              <w:rPr>
                <w:rFonts w:ascii="Arial" w:hAnsi="Arial"/>
                <w:color w:val="404040"/>
                <w:sz w:val="20"/>
                <w:szCs w:val="20"/>
              </w:rPr>
              <w:t>Lead</w:t>
            </w:r>
            <w:proofErr w:type="gramEnd"/>
            <w:r>
              <w:rPr>
                <w:rFonts w:ascii="Arial" w:hAnsi="Arial"/>
                <w:color w:val="404040"/>
                <w:sz w:val="20"/>
                <w:szCs w:val="20"/>
              </w:rPr>
              <w:t xml:space="preserve"> + GRC Director</w:t>
            </w:r>
          </w:p>
        </w:tc>
        <w:tc>
          <w:tcPr>
            <w:tcW w:w="0" w:type="auto"/>
          </w:tcPr>
          <w:p w14:paraId="3078F417" w14:textId="77777777" w:rsidR="001B75A0" w:rsidRDefault="001B75A0" w:rsidP="006C0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Day 1–5 post-incident</w:t>
            </w:r>
          </w:p>
        </w:tc>
        <w:tc>
          <w:tcPr>
            <w:tcW w:w="0" w:type="auto"/>
          </w:tcPr>
          <w:p w14:paraId="2B38F3B8" w14:textId="77777777" w:rsidR="001B75A0" w:rsidRDefault="001B75A0" w:rsidP="006C0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PIR conducted. Human-behaviour root cause analysis completed. Specific behaviour failure mode documented (e.g., 'finance employee responded to BEC targeting wire transfer authorisation').</w:t>
            </w:r>
          </w:p>
        </w:tc>
        <w:tc>
          <w:tcPr>
            <w:tcW w:w="0" w:type="auto"/>
          </w:tcPr>
          <w:p w14:paraId="42EA99C2" w14:textId="77777777" w:rsidR="001B75A0" w:rsidRDefault="001B75A0" w:rsidP="006C0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PIR report; behaviour failure mode form</w:t>
            </w:r>
          </w:p>
        </w:tc>
      </w:tr>
      <w:tr w:rsidR="001B75A0" w14:paraId="4689D76F" w14:textId="77777777" w:rsidTr="00F973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29B61C" w14:textId="77777777" w:rsidR="001B75A0" w:rsidRDefault="001B75A0" w:rsidP="006C02A5">
            <w:pPr>
              <w:jc w:val="center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STEP 3</w:t>
            </w:r>
          </w:p>
        </w:tc>
        <w:tc>
          <w:tcPr>
            <w:tcW w:w="0" w:type="auto"/>
          </w:tcPr>
          <w:p w14:paraId="593C0FDC" w14:textId="77777777" w:rsidR="001B75A0" w:rsidRDefault="001B75A0" w:rsidP="006C0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bCs/>
                <w:color w:val="404040"/>
                <w:sz w:val="20"/>
                <w:szCs w:val="20"/>
              </w:rPr>
              <w:t>SETA Remediation Ticket Issued</w:t>
            </w:r>
          </w:p>
        </w:tc>
        <w:tc>
          <w:tcPr>
            <w:tcW w:w="0" w:type="auto"/>
          </w:tcPr>
          <w:p w14:paraId="703953E5" w14:textId="77777777" w:rsidR="001B75A0" w:rsidRDefault="001B75A0" w:rsidP="006C0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GRC Director</w:t>
            </w:r>
          </w:p>
        </w:tc>
        <w:tc>
          <w:tcPr>
            <w:tcW w:w="0" w:type="auto"/>
          </w:tcPr>
          <w:p w14:paraId="62546463" w14:textId="77777777" w:rsidR="001B75A0" w:rsidRDefault="001B75A0" w:rsidP="006C0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Within 5 business days of PIR</w:t>
            </w:r>
          </w:p>
        </w:tc>
        <w:tc>
          <w:tcPr>
            <w:tcW w:w="0" w:type="auto"/>
          </w:tcPr>
          <w:p w14:paraId="5A9C0EE4" w14:textId="77777777" w:rsidR="001B75A0" w:rsidRDefault="001B75A0" w:rsidP="006C0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Structured SETA Remediation Ticket raised. Must include: behaviour failure mode, target audience, required content update or new module, deployment SLA, and accountable owner.</w:t>
            </w:r>
          </w:p>
        </w:tc>
        <w:tc>
          <w:tcPr>
            <w:tcW w:w="0" w:type="auto"/>
          </w:tcPr>
          <w:p w14:paraId="2FF4345E" w14:textId="77777777" w:rsidR="001B75A0" w:rsidRDefault="001B75A0" w:rsidP="006C0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Remediation Ticket (see template below)</w:t>
            </w:r>
          </w:p>
        </w:tc>
      </w:tr>
      <w:tr w:rsidR="001B75A0" w14:paraId="2BFAB6A0" w14:textId="77777777" w:rsidTr="00F973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1A9CA2" w14:textId="77777777" w:rsidR="001B75A0" w:rsidRDefault="001B75A0" w:rsidP="006C02A5">
            <w:pPr>
              <w:jc w:val="center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STEP 4</w:t>
            </w:r>
          </w:p>
        </w:tc>
        <w:tc>
          <w:tcPr>
            <w:tcW w:w="0" w:type="auto"/>
          </w:tcPr>
          <w:p w14:paraId="64F7CE7D" w14:textId="77777777" w:rsidR="001B75A0" w:rsidRDefault="001B75A0" w:rsidP="006C0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bCs/>
                <w:color w:val="404040"/>
                <w:sz w:val="20"/>
                <w:szCs w:val="20"/>
              </w:rPr>
              <w:t>Content Development or Update</w:t>
            </w:r>
          </w:p>
        </w:tc>
        <w:tc>
          <w:tcPr>
            <w:tcW w:w="0" w:type="auto"/>
          </w:tcPr>
          <w:p w14:paraId="11B970DF" w14:textId="77777777" w:rsidR="001B75A0" w:rsidRDefault="001B75A0" w:rsidP="006C0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 xml:space="preserve">SETA </w:t>
            </w:r>
            <w:proofErr w:type="spellStart"/>
            <w:r>
              <w:rPr>
                <w:rFonts w:ascii="Arial" w:hAnsi="Arial"/>
                <w:color w:val="404040"/>
                <w:sz w:val="20"/>
                <w:szCs w:val="20"/>
              </w:rPr>
              <w:t>Programme</w:t>
            </w:r>
            <w:proofErr w:type="spellEnd"/>
            <w:r>
              <w:rPr>
                <w:rFonts w:ascii="Arial" w:hAnsi="Arial"/>
                <w:color w:val="404040"/>
                <w:sz w:val="20"/>
                <w:szCs w:val="20"/>
              </w:rPr>
              <w:t xml:space="preserve"> Owner</w:t>
            </w:r>
          </w:p>
        </w:tc>
        <w:tc>
          <w:tcPr>
            <w:tcW w:w="0" w:type="auto"/>
          </w:tcPr>
          <w:p w14:paraId="122BDE3A" w14:textId="77777777" w:rsidR="001B75A0" w:rsidRDefault="001B75A0" w:rsidP="006C0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Days 6–20</w:t>
            </w:r>
          </w:p>
        </w:tc>
        <w:tc>
          <w:tcPr>
            <w:tcW w:w="0" w:type="auto"/>
          </w:tcPr>
          <w:p w14:paraId="37F907ED" w14:textId="77777777" w:rsidR="001B75A0" w:rsidRDefault="001B75A0" w:rsidP="006C0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Training content updated or new module developed. Content must reference the specific incident behaviour pattern without disclosing confidential incident details. Legal review required if regulatory notification occurred.</w:t>
            </w:r>
          </w:p>
        </w:tc>
        <w:tc>
          <w:tcPr>
            <w:tcW w:w="0" w:type="auto"/>
          </w:tcPr>
          <w:p w14:paraId="67B1D30E" w14:textId="77777777" w:rsidR="001B75A0" w:rsidRDefault="001B75A0" w:rsidP="006C0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Updated module draft; Legal sign-off if applicable</w:t>
            </w:r>
          </w:p>
        </w:tc>
      </w:tr>
      <w:tr w:rsidR="001B75A0" w14:paraId="02F2A666" w14:textId="77777777" w:rsidTr="00F973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3CD93D" w14:textId="77777777" w:rsidR="001B75A0" w:rsidRDefault="001B75A0" w:rsidP="006C02A5">
            <w:pPr>
              <w:jc w:val="center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STEP 5</w:t>
            </w:r>
          </w:p>
        </w:tc>
        <w:tc>
          <w:tcPr>
            <w:tcW w:w="0" w:type="auto"/>
          </w:tcPr>
          <w:p w14:paraId="5566CD14" w14:textId="77777777" w:rsidR="001B75A0" w:rsidRDefault="001B75A0" w:rsidP="006C0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bCs/>
                <w:color w:val="404040"/>
                <w:sz w:val="20"/>
                <w:szCs w:val="20"/>
              </w:rPr>
              <w:t>Regulatory and Legal Review</w:t>
            </w:r>
          </w:p>
        </w:tc>
        <w:tc>
          <w:tcPr>
            <w:tcW w:w="0" w:type="auto"/>
          </w:tcPr>
          <w:p w14:paraId="63D662E3" w14:textId="77777777" w:rsidR="001B75A0" w:rsidRDefault="001B75A0" w:rsidP="006C0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CCO + Legal Counsel</w:t>
            </w:r>
          </w:p>
        </w:tc>
        <w:tc>
          <w:tcPr>
            <w:tcW w:w="0" w:type="auto"/>
          </w:tcPr>
          <w:p w14:paraId="329C8A83" w14:textId="77777777" w:rsidR="001B75A0" w:rsidRDefault="001B75A0" w:rsidP="006C0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Days 15–25</w:t>
            </w:r>
          </w:p>
        </w:tc>
        <w:tc>
          <w:tcPr>
            <w:tcW w:w="0" w:type="auto"/>
          </w:tcPr>
          <w:p w14:paraId="3A7A9A95" w14:textId="77777777" w:rsidR="001B75A0" w:rsidRDefault="001B75A0" w:rsidP="006C0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Content reviewed for accuracy, regulatory alignment, and confidentiality compliance. If incident is subject to regulatory investigation, Legal determines appropriate disclosure boundaries for training content.</w:t>
            </w:r>
          </w:p>
        </w:tc>
        <w:tc>
          <w:tcPr>
            <w:tcW w:w="0" w:type="auto"/>
          </w:tcPr>
          <w:p w14:paraId="0C891B8D" w14:textId="77777777" w:rsidR="001B75A0" w:rsidRDefault="001B75A0" w:rsidP="006C0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Legal review sign-off; CCO approval</w:t>
            </w:r>
          </w:p>
        </w:tc>
      </w:tr>
      <w:tr w:rsidR="001B75A0" w14:paraId="013EBFE2" w14:textId="77777777" w:rsidTr="00F973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E6570B" w14:textId="77777777" w:rsidR="001B75A0" w:rsidRDefault="001B75A0" w:rsidP="006C02A5">
            <w:pPr>
              <w:jc w:val="center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STEP 6</w:t>
            </w:r>
          </w:p>
        </w:tc>
        <w:tc>
          <w:tcPr>
            <w:tcW w:w="0" w:type="auto"/>
          </w:tcPr>
          <w:p w14:paraId="6CA61F7B" w14:textId="77777777" w:rsidR="001B75A0" w:rsidRDefault="001B75A0" w:rsidP="006C0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bCs/>
                <w:color w:val="404040"/>
                <w:sz w:val="20"/>
                <w:szCs w:val="20"/>
              </w:rPr>
              <w:t>Deployment Authorisation</w:t>
            </w:r>
          </w:p>
        </w:tc>
        <w:tc>
          <w:tcPr>
            <w:tcW w:w="0" w:type="auto"/>
          </w:tcPr>
          <w:p w14:paraId="3C12A466" w14:textId="77777777" w:rsidR="001B75A0" w:rsidRDefault="001B75A0" w:rsidP="006C0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GRC Director</w:t>
            </w:r>
          </w:p>
        </w:tc>
        <w:tc>
          <w:tcPr>
            <w:tcW w:w="0" w:type="auto"/>
          </w:tcPr>
          <w:p w14:paraId="3239BA7E" w14:textId="77777777" w:rsidR="001B75A0" w:rsidRDefault="001B75A0" w:rsidP="006C0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Day 25–30</w:t>
            </w:r>
          </w:p>
        </w:tc>
        <w:tc>
          <w:tcPr>
            <w:tcW w:w="0" w:type="auto"/>
          </w:tcPr>
          <w:p w14:paraId="6BB43AA7" w14:textId="77777777" w:rsidR="001B75A0" w:rsidRDefault="001B75A0" w:rsidP="006C0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 xml:space="preserve">Deployment authorised. Target audience confirmed in LMS. </w:t>
            </w:r>
            <w:r>
              <w:rPr>
                <w:rFonts w:ascii="Arial" w:hAnsi="Arial"/>
                <w:color w:val="404040"/>
                <w:sz w:val="20"/>
                <w:szCs w:val="20"/>
              </w:rPr>
              <w:lastRenderedPageBreak/>
              <w:t>Deployment date set. Communication to Business Unit Risk Owners issued 5 days in advance.</w:t>
            </w:r>
          </w:p>
        </w:tc>
        <w:tc>
          <w:tcPr>
            <w:tcW w:w="0" w:type="auto"/>
          </w:tcPr>
          <w:p w14:paraId="7C3B126C" w14:textId="77777777" w:rsidR="001B75A0" w:rsidRDefault="001B75A0" w:rsidP="006C0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lastRenderedPageBreak/>
              <w:t xml:space="preserve">Deployment authorisation </w:t>
            </w:r>
            <w:r>
              <w:rPr>
                <w:rFonts w:ascii="Arial" w:hAnsi="Arial"/>
                <w:color w:val="404040"/>
                <w:sz w:val="20"/>
                <w:szCs w:val="20"/>
              </w:rPr>
              <w:lastRenderedPageBreak/>
              <w:t>record; LMS configuration</w:t>
            </w:r>
          </w:p>
        </w:tc>
      </w:tr>
      <w:tr w:rsidR="001B75A0" w14:paraId="0E0EEC7C" w14:textId="77777777" w:rsidTr="00F973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540450" w14:textId="77777777" w:rsidR="001B75A0" w:rsidRDefault="001B75A0" w:rsidP="006C02A5">
            <w:pPr>
              <w:jc w:val="center"/>
            </w:pPr>
            <w:r>
              <w:rPr>
                <w:rFonts w:ascii="Arial" w:hAnsi="Arial"/>
                <w:color w:val="404040"/>
                <w:sz w:val="20"/>
                <w:szCs w:val="20"/>
              </w:rPr>
              <w:lastRenderedPageBreak/>
              <w:t>STEP 7</w:t>
            </w:r>
          </w:p>
        </w:tc>
        <w:tc>
          <w:tcPr>
            <w:tcW w:w="0" w:type="auto"/>
          </w:tcPr>
          <w:p w14:paraId="35364848" w14:textId="77777777" w:rsidR="001B75A0" w:rsidRDefault="001B75A0" w:rsidP="006C0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bCs/>
                <w:color w:val="404040"/>
                <w:sz w:val="20"/>
                <w:szCs w:val="20"/>
              </w:rPr>
              <w:t>Deployment</w:t>
            </w:r>
          </w:p>
        </w:tc>
        <w:tc>
          <w:tcPr>
            <w:tcW w:w="0" w:type="auto"/>
          </w:tcPr>
          <w:p w14:paraId="7E7FC194" w14:textId="77777777" w:rsidR="001B75A0" w:rsidRDefault="001B75A0" w:rsidP="006C0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 xml:space="preserve">SETA </w:t>
            </w:r>
            <w:proofErr w:type="spellStart"/>
            <w:r>
              <w:rPr>
                <w:rFonts w:ascii="Arial" w:hAnsi="Arial"/>
                <w:color w:val="404040"/>
                <w:sz w:val="20"/>
                <w:szCs w:val="20"/>
              </w:rPr>
              <w:t>Programme</w:t>
            </w:r>
            <w:proofErr w:type="spellEnd"/>
            <w:r>
              <w:rPr>
                <w:rFonts w:ascii="Arial" w:hAnsi="Arial"/>
                <w:color w:val="404040"/>
                <w:sz w:val="20"/>
                <w:szCs w:val="20"/>
              </w:rPr>
              <w:t xml:space="preserve"> Owner</w:t>
            </w:r>
          </w:p>
        </w:tc>
        <w:tc>
          <w:tcPr>
            <w:tcW w:w="0" w:type="auto"/>
          </w:tcPr>
          <w:p w14:paraId="0632394A" w14:textId="77777777" w:rsidR="001B75A0" w:rsidRDefault="001B75A0" w:rsidP="006C0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Day 30 (SLA deadline)</w:t>
            </w:r>
          </w:p>
        </w:tc>
        <w:tc>
          <w:tcPr>
            <w:tcW w:w="0" w:type="auto"/>
          </w:tcPr>
          <w:p w14:paraId="4FCC7C5C" w14:textId="77777777" w:rsidR="001B75A0" w:rsidRDefault="001B75A0" w:rsidP="006C0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Training module deployed to target audience via LMS. Notification sent to audience. Simulation updated if applicable to reflect new behaviour pattern.</w:t>
            </w:r>
          </w:p>
        </w:tc>
        <w:tc>
          <w:tcPr>
            <w:tcW w:w="0" w:type="auto"/>
          </w:tcPr>
          <w:p w14:paraId="72CBC344" w14:textId="77777777" w:rsidR="001B75A0" w:rsidRDefault="001B75A0" w:rsidP="006C0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LMS deployment log; notification record</w:t>
            </w:r>
          </w:p>
        </w:tc>
      </w:tr>
      <w:tr w:rsidR="001B75A0" w14:paraId="47D4C584" w14:textId="77777777" w:rsidTr="00F973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93105C" w14:textId="77777777" w:rsidR="001B75A0" w:rsidRDefault="001B75A0" w:rsidP="006C02A5">
            <w:pPr>
              <w:jc w:val="center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STEP 8</w:t>
            </w:r>
          </w:p>
        </w:tc>
        <w:tc>
          <w:tcPr>
            <w:tcW w:w="0" w:type="auto"/>
          </w:tcPr>
          <w:p w14:paraId="3DE785EB" w14:textId="77777777" w:rsidR="001B75A0" w:rsidRDefault="001B75A0" w:rsidP="006C0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bCs/>
                <w:color w:val="404040"/>
                <w:sz w:val="20"/>
                <w:szCs w:val="20"/>
              </w:rPr>
              <w:t>Completion Tracking and Closure</w:t>
            </w:r>
          </w:p>
        </w:tc>
        <w:tc>
          <w:tcPr>
            <w:tcW w:w="0" w:type="auto"/>
          </w:tcPr>
          <w:p w14:paraId="760962CE" w14:textId="77777777" w:rsidR="001B75A0" w:rsidRDefault="001B75A0" w:rsidP="006C0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 xml:space="preserve">SETA </w:t>
            </w:r>
            <w:proofErr w:type="spellStart"/>
            <w:r>
              <w:rPr>
                <w:rFonts w:ascii="Arial" w:hAnsi="Arial"/>
                <w:color w:val="404040"/>
                <w:sz w:val="20"/>
                <w:szCs w:val="20"/>
              </w:rPr>
              <w:t>Programme</w:t>
            </w:r>
            <w:proofErr w:type="spellEnd"/>
            <w:r>
              <w:rPr>
                <w:rFonts w:ascii="Arial" w:hAnsi="Arial"/>
                <w:color w:val="404040"/>
                <w:sz w:val="20"/>
                <w:szCs w:val="20"/>
              </w:rPr>
              <w:t xml:space="preserve"> Owner + GRC Director</w:t>
            </w:r>
          </w:p>
        </w:tc>
        <w:tc>
          <w:tcPr>
            <w:tcW w:w="0" w:type="auto"/>
          </w:tcPr>
          <w:p w14:paraId="61208241" w14:textId="77777777" w:rsidR="001B75A0" w:rsidRDefault="001B75A0" w:rsidP="006C0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Days 30–60</w:t>
            </w:r>
          </w:p>
        </w:tc>
        <w:tc>
          <w:tcPr>
            <w:tcW w:w="0" w:type="auto"/>
          </w:tcPr>
          <w:p w14:paraId="3731D68C" w14:textId="77777777" w:rsidR="001B75A0" w:rsidRDefault="001B75A0" w:rsidP="006C0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Completion tracked against 95% / 98% targets per tier. Non-completion escalated per charter protocol. Pipeline ticket closed only when completion target is met and evidence is filed.</w:t>
            </w:r>
          </w:p>
        </w:tc>
        <w:tc>
          <w:tcPr>
            <w:tcW w:w="0" w:type="auto"/>
          </w:tcPr>
          <w:p w14:paraId="0E009806" w14:textId="77777777" w:rsidR="001B75A0" w:rsidRDefault="001B75A0" w:rsidP="006C0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Completion report; ticket closure record; evidence archive</w:t>
            </w:r>
          </w:p>
        </w:tc>
      </w:tr>
    </w:tbl>
    <w:p w14:paraId="48AA40A7" w14:textId="77777777" w:rsidR="001B75A0" w:rsidRDefault="001B75A0" w:rsidP="001B75A0">
      <w:pPr>
        <w:spacing w:after="160"/>
      </w:pPr>
    </w:p>
    <w:p w14:paraId="467F2F7E" w14:textId="2F6F8C82" w:rsidR="001B75A0" w:rsidRDefault="003F012E" w:rsidP="001B75A0">
      <w:pPr>
        <w:pStyle w:val="Heading1"/>
      </w:pPr>
      <w:r>
        <w:lastRenderedPageBreak/>
        <w:t xml:space="preserve">SETA </w:t>
      </w:r>
      <w:r w:rsidR="001B75A0">
        <w:t>Remediation Ticket — Template</w:t>
      </w:r>
    </w:p>
    <w:p w14:paraId="336E78E8" w14:textId="77777777" w:rsidR="001B75A0" w:rsidRPr="001B75A0" w:rsidRDefault="001B75A0" w:rsidP="001B75A0"/>
    <w:p w14:paraId="184DD309" w14:textId="77777777" w:rsidR="001B75A0" w:rsidRPr="001B75A0" w:rsidRDefault="001B75A0" w:rsidP="001B75A0">
      <w:r w:rsidRPr="001B75A0">
        <w:t>A Remediation Ticket must be raised for every incident triggering this pipeline. The ticket is a controlled governance document — retained for audit purposes, filed in the GRC platform, and reviewed by Internal Audit during the annual SETA controls review.</w:t>
      </w:r>
    </w:p>
    <w:p w14:paraId="7CA5C713" w14:textId="77777777" w:rsidR="001B75A0" w:rsidRDefault="001B75A0" w:rsidP="001B75A0"/>
    <w:tbl>
      <w:tblPr>
        <w:tblStyle w:val="GridTable4-Accent1"/>
        <w:tblW w:w="9064" w:type="dxa"/>
        <w:tblLook w:val="04A0" w:firstRow="1" w:lastRow="0" w:firstColumn="1" w:lastColumn="0" w:noHBand="0" w:noVBand="1"/>
      </w:tblPr>
      <w:tblGrid>
        <w:gridCol w:w="1863"/>
        <w:gridCol w:w="2907"/>
        <w:gridCol w:w="1965"/>
        <w:gridCol w:w="2329"/>
      </w:tblGrid>
      <w:tr w:rsidR="001B75A0" w14:paraId="02EB8F97" w14:textId="77777777" w:rsidTr="00F973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3" w:type="dxa"/>
          </w:tcPr>
          <w:p w14:paraId="7ED316B0" w14:textId="77777777" w:rsidR="001B75A0" w:rsidRDefault="001B75A0" w:rsidP="006C02A5">
            <w:r>
              <w:rPr>
                <w:rFonts w:ascii="Arial" w:hAnsi="Arial"/>
                <w:color w:val="404040"/>
                <w:sz w:val="20"/>
                <w:szCs w:val="20"/>
              </w:rPr>
              <w:t>Ticket Number</w:t>
            </w:r>
          </w:p>
        </w:tc>
        <w:tc>
          <w:tcPr>
            <w:tcW w:w="0" w:type="auto"/>
          </w:tcPr>
          <w:p w14:paraId="031A68A2" w14:textId="77777777" w:rsidR="001B75A0" w:rsidRDefault="001B75A0" w:rsidP="006C02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[AUTO-GENERATED]</w:t>
            </w:r>
          </w:p>
        </w:tc>
        <w:tc>
          <w:tcPr>
            <w:tcW w:w="0" w:type="auto"/>
          </w:tcPr>
          <w:p w14:paraId="272CCAB9" w14:textId="77777777" w:rsidR="001B75A0" w:rsidRDefault="001B75A0" w:rsidP="006C02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Pipeline SLA</w:t>
            </w:r>
          </w:p>
        </w:tc>
        <w:tc>
          <w:tcPr>
            <w:tcW w:w="0" w:type="auto"/>
          </w:tcPr>
          <w:p w14:paraId="7C69D3B4" w14:textId="77777777" w:rsidR="001B75A0" w:rsidRDefault="001B75A0" w:rsidP="006C02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30 days from PIR completion</w:t>
            </w:r>
          </w:p>
        </w:tc>
      </w:tr>
      <w:tr w:rsidR="001B75A0" w14:paraId="6682EA65" w14:textId="77777777" w:rsidTr="00F973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3" w:type="dxa"/>
          </w:tcPr>
          <w:p w14:paraId="21F03640" w14:textId="77777777" w:rsidR="001B75A0" w:rsidRDefault="001B75A0" w:rsidP="006C02A5">
            <w:r>
              <w:rPr>
                <w:rFonts w:ascii="Arial" w:hAnsi="Arial"/>
                <w:color w:val="404040"/>
                <w:sz w:val="20"/>
                <w:szCs w:val="20"/>
              </w:rPr>
              <w:t>Incident Reference</w:t>
            </w:r>
          </w:p>
        </w:tc>
        <w:tc>
          <w:tcPr>
            <w:tcW w:w="0" w:type="auto"/>
          </w:tcPr>
          <w:p w14:paraId="175DF70B" w14:textId="77777777" w:rsidR="001B75A0" w:rsidRDefault="001B75A0" w:rsidP="006C0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[IR TICKET #]</w:t>
            </w:r>
          </w:p>
        </w:tc>
        <w:tc>
          <w:tcPr>
            <w:tcW w:w="0" w:type="auto"/>
          </w:tcPr>
          <w:p w14:paraId="0ADB178C" w14:textId="77777777" w:rsidR="001B75A0" w:rsidRDefault="001B75A0" w:rsidP="006C0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bCs/>
                <w:color w:val="404040"/>
                <w:sz w:val="20"/>
                <w:szCs w:val="20"/>
              </w:rPr>
              <w:t>Incident Date</w:t>
            </w:r>
          </w:p>
        </w:tc>
        <w:tc>
          <w:tcPr>
            <w:tcW w:w="0" w:type="auto"/>
          </w:tcPr>
          <w:p w14:paraId="12231254" w14:textId="77777777" w:rsidR="001B75A0" w:rsidRDefault="001B75A0" w:rsidP="006C0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[DATE]</w:t>
            </w:r>
          </w:p>
        </w:tc>
      </w:tr>
      <w:tr w:rsidR="001B75A0" w14:paraId="08D57C31" w14:textId="77777777" w:rsidTr="00F973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3" w:type="dxa"/>
          </w:tcPr>
          <w:p w14:paraId="47670247" w14:textId="77777777" w:rsidR="001B75A0" w:rsidRDefault="001B75A0" w:rsidP="006C02A5">
            <w:r>
              <w:rPr>
                <w:rFonts w:ascii="Arial" w:hAnsi="Arial"/>
                <w:color w:val="404040"/>
                <w:sz w:val="20"/>
                <w:szCs w:val="20"/>
              </w:rPr>
              <w:t>Behaviour Failure Mode</w:t>
            </w:r>
          </w:p>
        </w:tc>
        <w:tc>
          <w:tcPr>
            <w:tcW w:w="0" w:type="auto"/>
            <w:gridSpan w:val="3"/>
          </w:tcPr>
          <w:p w14:paraId="55CF329C" w14:textId="77777777" w:rsidR="001B75A0" w:rsidRDefault="001B75A0" w:rsidP="006C0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[Precise description of the human behaviour that enabled or contributed to the incident — e.g., 'Employee responded to vishing call impersonating IT helpdesk and provided MFA code']</w:t>
            </w:r>
          </w:p>
        </w:tc>
      </w:tr>
      <w:tr w:rsidR="001B75A0" w14:paraId="470A8A3C" w14:textId="77777777" w:rsidTr="00F973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3" w:type="dxa"/>
          </w:tcPr>
          <w:p w14:paraId="010A1E66" w14:textId="77777777" w:rsidR="001B75A0" w:rsidRDefault="001B75A0" w:rsidP="006C02A5">
            <w:r>
              <w:rPr>
                <w:rFonts w:ascii="Arial" w:hAnsi="Arial"/>
                <w:color w:val="404040"/>
                <w:sz w:val="20"/>
                <w:szCs w:val="20"/>
              </w:rPr>
              <w:t>Root Cause Classification</w:t>
            </w:r>
          </w:p>
        </w:tc>
        <w:tc>
          <w:tcPr>
            <w:tcW w:w="0" w:type="auto"/>
            <w:gridSpan w:val="3"/>
          </w:tcPr>
          <w:p w14:paraId="7C3CE42D" w14:textId="77777777" w:rsidR="001B75A0" w:rsidRDefault="001B75A0" w:rsidP="006C0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rFonts w:ascii="Arial" w:hAnsi="Arial"/>
                <w:color w:val="404040"/>
                <w:sz w:val="20"/>
                <w:szCs w:val="20"/>
              </w:rPr>
              <w:t>[ ]</w:t>
            </w:r>
            <w:proofErr w:type="gramEnd"/>
            <w:r>
              <w:rPr>
                <w:rFonts w:ascii="Arial" w:hAnsi="Arial"/>
                <w:color w:val="404040"/>
                <w:sz w:val="20"/>
                <w:szCs w:val="20"/>
              </w:rPr>
              <w:t xml:space="preserve"> Lack of awareness  [ ] Insufficient training  [ ] Awareness but non-compliance  [ ] Training gap for new threat vector  [ ] Role mismatch — wrong training tier</w:t>
            </w:r>
          </w:p>
        </w:tc>
      </w:tr>
      <w:tr w:rsidR="001B75A0" w14:paraId="6705B9C0" w14:textId="77777777" w:rsidTr="00F973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3" w:type="dxa"/>
          </w:tcPr>
          <w:p w14:paraId="7A65F6C9" w14:textId="77777777" w:rsidR="001B75A0" w:rsidRDefault="001B75A0" w:rsidP="006C02A5">
            <w:r>
              <w:rPr>
                <w:rFonts w:ascii="Arial" w:hAnsi="Arial"/>
                <w:color w:val="404040"/>
                <w:sz w:val="20"/>
                <w:szCs w:val="20"/>
              </w:rPr>
              <w:t>Target Audience</w:t>
            </w:r>
          </w:p>
        </w:tc>
        <w:tc>
          <w:tcPr>
            <w:tcW w:w="0" w:type="auto"/>
          </w:tcPr>
          <w:p w14:paraId="34B978CD" w14:textId="77777777" w:rsidR="001B75A0" w:rsidRDefault="001B75A0" w:rsidP="006C0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[Role(s), Department(s), Risk Tier]</w:t>
            </w:r>
          </w:p>
        </w:tc>
        <w:tc>
          <w:tcPr>
            <w:tcW w:w="0" w:type="auto"/>
          </w:tcPr>
          <w:p w14:paraId="4A5C2D02" w14:textId="77777777" w:rsidR="001B75A0" w:rsidRDefault="001B75A0" w:rsidP="006C0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bCs/>
                <w:color w:val="404040"/>
                <w:sz w:val="20"/>
                <w:szCs w:val="20"/>
              </w:rPr>
              <w:t>Audience Size</w:t>
            </w:r>
          </w:p>
        </w:tc>
        <w:tc>
          <w:tcPr>
            <w:tcW w:w="0" w:type="auto"/>
          </w:tcPr>
          <w:p w14:paraId="4D378C14" w14:textId="77777777" w:rsidR="001B75A0" w:rsidRDefault="001B75A0" w:rsidP="006C0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[#]</w:t>
            </w:r>
          </w:p>
        </w:tc>
      </w:tr>
      <w:tr w:rsidR="001B75A0" w14:paraId="248349B3" w14:textId="77777777" w:rsidTr="00F973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3" w:type="dxa"/>
          </w:tcPr>
          <w:p w14:paraId="61B3D676" w14:textId="77777777" w:rsidR="001B75A0" w:rsidRDefault="001B75A0" w:rsidP="006C02A5">
            <w:r>
              <w:rPr>
                <w:rFonts w:ascii="Arial" w:hAnsi="Arial"/>
                <w:color w:val="404040"/>
                <w:sz w:val="20"/>
                <w:szCs w:val="20"/>
              </w:rPr>
              <w:t>Required Action</w:t>
            </w:r>
          </w:p>
        </w:tc>
        <w:tc>
          <w:tcPr>
            <w:tcW w:w="0" w:type="auto"/>
            <w:gridSpan w:val="3"/>
          </w:tcPr>
          <w:p w14:paraId="4B37534B" w14:textId="77777777" w:rsidR="001B75A0" w:rsidRDefault="001B75A0" w:rsidP="006C0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rFonts w:ascii="Arial" w:hAnsi="Arial"/>
                <w:color w:val="404040"/>
                <w:sz w:val="20"/>
                <w:szCs w:val="20"/>
              </w:rPr>
              <w:t>[ ]</w:t>
            </w:r>
            <w:proofErr w:type="gramEnd"/>
            <w:r>
              <w:rPr>
                <w:rFonts w:ascii="Arial" w:hAnsi="Arial"/>
                <w:color w:val="404040"/>
                <w:sz w:val="20"/>
                <w:szCs w:val="20"/>
              </w:rPr>
              <w:t xml:space="preserve"> Update existing module  [ ] Create new module  [ ] Add simulation scenario  [ ] Update simulation lure library  [ ] Targeted role-play exercise</w:t>
            </w:r>
          </w:p>
        </w:tc>
      </w:tr>
      <w:tr w:rsidR="001B75A0" w14:paraId="2B5319DF" w14:textId="77777777" w:rsidTr="00F973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3" w:type="dxa"/>
          </w:tcPr>
          <w:p w14:paraId="5BAF2F9E" w14:textId="77777777" w:rsidR="001B75A0" w:rsidRDefault="001B75A0" w:rsidP="006C02A5">
            <w:r>
              <w:rPr>
                <w:rFonts w:ascii="Arial" w:hAnsi="Arial"/>
                <w:color w:val="404040"/>
                <w:sz w:val="20"/>
                <w:szCs w:val="20"/>
              </w:rPr>
              <w:t>Module Reference</w:t>
            </w:r>
          </w:p>
        </w:tc>
        <w:tc>
          <w:tcPr>
            <w:tcW w:w="0" w:type="auto"/>
          </w:tcPr>
          <w:p w14:paraId="6AC2A733" w14:textId="77777777" w:rsidR="001B75A0" w:rsidRDefault="001B75A0" w:rsidP="006C0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[MOD-XXX]</w:t>
            </w:r>
          </w:p>
        </w:tc>
        <w:tc>
          <w:tcPr>
            <w:tcW w:w="0" w:type="auto"/>
          </w:tcPr>
          <w:p w14:paraId="48953175" w14:textId="77777777" w:rsidR="001B75A0" w:rsidRDefault="001B75A0" w:rsidP="006C0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bCs/>
                <w:color w:val="404040"/>
                <w:sz w:val="20"/>
                <w:szCs w:val="20"/>
              </w:rPr>
              <w:t>Content Owner</w:t>
            </w:r>
          </w:p>
        </w:tc>
        <w:tc>
          <w:tcPr>
            <w:tcW w:w="0" w:type="auto"/>
          </w:tcPr>
          <w:p w14:paraId="1E973EDB" w14:textId="77777777" w:rsidR="001B75A0" w:rsidRDefault="001B75A0" w:rsidP="006C0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[NAME]</w:t>
            </w:r>
          </w:p>
        </w:tc>
      </w:tr>
      <w:tr w:rsidR="001B75A0" w14:paraId="3D8D87D0" w14:textId="77777777" w:rsidTr="00F973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3" w:type="dxa"/>
          </w:tcPr>
          <w:p w14:paraId="2E145056" w14:textId="77777777" w:rsidR="001B75A0" w:rsidRDefault="001B75A0" w:rsidP="006C02A5">
            <w:r>
              <w:rPr>
                <w:rFonts w:ascii="Arial" w:hAnsi="Arial"/>
                <w:color w:val="404040"/>
                <w:sz w:val="20"/>
                <w:szCs w:val="20"/>
              </w:rPr>
              <w:t>Legal Review Required?</w:t>
            </w:r>
          </w:p>
        </w:tc>
        <w:tc>
          <w:tcPr>
            <w:tcW w:w="0" w:type="auto"/>
          </w:tcPr>
          <w:p w14:paraId="5C5AC24A" w14:textId="77777777" w:rsidR="001B75A0" w:rsidRDefault="001B75A0" w:rsidP="006C0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rFonts w:ascii="Arial" w:hAnsi="Arial"/>
                <w:color w:val="404040"/>
                <w:sz w:val="20"/>
                <w:szCs w:val="20"/>
              </w:rPr>
              <w:t>[ ]</w:t>
            </w:r>
            <w:proofErr w:type="gramEnd"/>
            <w:r>
              <w:rPr>
                <w:rFonts w:ascii="Arial" w:hAnsi="Arial"/>
                <w:color w:val="404040"/>
                <w:sz w:val="20"/>
                <w:szCs w:val="20"/>
              </w:rPr>
              <w:t xml:space="preserve"> Yes — regulatory notification occurred  [ ] No</w:t>
            </w:r>
          </w:p>
        </w:tc>
        <w:tc>
          <w:tcPr>
            <w:tcW w:w="0" w:type="auto"/>
          </w:tcPr>
          <w:p w14:paraId="20DC82ED" w14:textId="77777777" w:rsidR="001B75A0" w:rsidRDefault="001B75A0" w:rsidP="006C0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bCs/>
                <w:color w:val="404040"/>
                <w:sz w:val="20"/>
                <w:szCs w:val="20"/>
              </w:rPr>
              <w:t>Legal Sign-Off</w:t>
            </w:r>
          </w:p>
        </w:tc>
        <w:tc>
          <w:tcPr>
            <w:tcW w:w="0" w:type="auto"/>
          </w:tcPr>
          <w:p w14:paraId="4697831B" w14:textId="77777777" w:rsidR="001B75A0" w:rsidRDefault="001B75A0" w:rsidP="006C0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[NAME / DATE if required]</w:t>
            </w:r>
          </w:p>
        </w:tc>
      </w:tr>
      <w:tr w:rsidR="001B75A0" w14:paraId="1FC80787" w14:textId="77777777" w:rsidTr="00F973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3" w:type="dxa"/>
          </w:tcPr>
          <w:p w14:paraId="79A00AB4" w14:textId="77777777" w:rsidR="001B75A0" w:rsidRDefault="001B75A0" w:rsidP="006C02A5">
            <w:r>
              <w:rPr>
                <w:rFonts w:ascii="Arial" w:hAnsi="Arial"/>
                <w:color w:val="404040"/>
                <w:sz w:val="20"/>
                <w:szCs w:val="20"/>
              </w:rPr>
              <w:t>CCO Sign-Off</w:t>
            </w:r>
          </w:p>
        </w:tc>
        <w:tc>
          <w:tcPr>
            <w:tcW w:w="0" w:type="auto"/>
          </w:tcPr>
          <w:p w14:paraId="0BC79AEC" w14:textId="77777777" w:rsidR="001B75A0" w:rsidRDefault="001B75A0" w:rsidP="006C0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[NAME / DATE]</w:t>
            </w:r>
          </w:p>
        </w:tc>
        <w:tc>
          <w:tcPr>
            <w:tcW w:w="0" w:type="auto"/>
          </w:tcPr>
          <w:p w14:paraId="038F0935" w14:textId="77777777" w:rsidR="001B75A0" w:rsidRDefault="001B75A0" w:rsidP="006C0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bCs/>
                <w:color w:val="404040"/>
                <w:sz w:val="20"/>
                <w:szCs w:val="20"/>
              </w:rPr>
              <w:t>GRC Director Sign-Off</w:t>
            </w:r>
          </w:p>
        </w:tc>
        <w:tc>
          <w:tcPr>
            <w:tcW w:w="0" w:type="auto"/>
          </w:tcPr>
          <w:p w14:paraId="2160F5F2" w14:textId="77777777" w:rsidR="001B75A0" w:rsidRDefault="001B75A0" w:rsidP="006C0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[NAME / DATE]</w:t>
            </w:r>
          </w:p>
        </w:tc>
      </w:tr>
      <w:tr w:rsidR="001B75A0" w14:paraId="7C8F24AE" w14:textId="77777777" w:rsidTr="00F973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3" w:type="dxa"/>
          </w:tcPr>
          <w:p w14:paraId="57D58BE0" w14:textId="77777777" w:rsidR="001B75A0" w:rsidRDefault="001B75A0" w:rsidP="006C02A5">
            <w:r>
              <w:rPr>
                <w:rFonts w:ascii="Arial" w:hAnsi="Arial"/>
                <w:color w:val="404040"/>
                <w:sz w:val="20"/>
                <w:szCs w:val="20"/>
              </w:rPr>
              <w:t>Deployment Date</w:t>
            </w:r>
          </w:p>
        </w:tc>
        <w:tc>
          <w:tcPr>
            <w:tcW w:w="0" w:type="auto"/>
          </w:tcPr>
          <w:p w14:paraId="3663F54E" w14:textId="77777777" w:rsidR="001B75A0" w:rsidRDefault="001B75A0" w:rsidP="006C0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[DATE]</w:t>
            </w:r>
          </w:p>
        </w:tc>
        <w:tc>
          <w:tcPr>
            <w:tcW w:w="0" w:type="auto"/>
          </w:tcPr>
          <w:p w14:paraId="33C67E83" w14:textId="77777777" w:rsidR="001B75A0" w:rsidRDefault="001B75A0" w:rsidP="006C0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bCs/>
                <w:color w:val="404040"/>
                <w:sz w:val="20"/>
                <w:szCs w:val="20"/>
              </w:rPr>
              <w:t>Completion Target Date</w:t>
            </w:r>
          </w:p>
        </w:tc>
        <w:tc>
          <w:tcPr>
            <w:tcW w:w="0" w:type="auto"/>
          </w:tcPr>
          <w:p w14:paraId="60F044E0" w14:textId="77777777" w:rsidR="001B75A0" w:rsidRDefault="001B75A0" w:rsidP="006C0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[DATE — 30 days from deployment]</w:t>
            </w:r>
          </w:p>
        </w:tc>
      </w:tr>
      <w:tr w:rsidR="001B75A0" w14:paraId="54768E59" w14:textId="77777777" w:rsidTr="00F973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3" w:type="dxa"/>
          </w:tcPr>
          <w:p w14:paraId="1A7F2937" w14:textId="77777777" w:rsidR="001B75A0" w:rsidRDefault="001B75A0" w:rsidP="006C02A5">
            <w:r>
              <w:rPr>
                <w:rFonts w:ascii="Arial" w:hAnsi="Arial"/>
                <w:color w:val="404040"/>
                <w:sz w:val="20"/>
                <w:szCs w:val="20"/>
              </w:rPr>
              <w:t>Closure Conditions</w:t>
            </w:r>
          </w:p>
        </w:tc>
        <w:tc>
          <w:tcPr>
            <w:tcW w:w="0" w:type="auto"/>
            <w:gridSpan w:val="3"/>
          </w:tcPr>
          <w:p w14:paraId="1B5CDC27" w14:textId="77777777" w:rsidR="001B75A0" w:rsidRDefault="001B75A0" w:rsidP="006C0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404040"/>
                <w:sz w:val="20"/>
                <w:szCs w:val="20"/>
              </w:rPr>
              <w:t>Completion rate meets tier target AND evidence archived in GRC platform AND pipeline ticket formally closed by GRC Director.</w:t>
            </w:r>
          </w:p>
        </w:tc>
      </w:tr>
    </w:tbl>
    <w:p w14:paraId="633FBF6D" w14:textId="77777777" w:rsidR="001B75A0" w:rsidRDefault="001B75A0" w:rsidP="001B75A0">
      <w:pPr>
        <w:spacing w:after="160"/>
      </w:pPr>
    </w:p>
    <w:p w14:paraId="1F9FA34C" w14:textId="5350C23E" w:rsidR="001B75A0" w:rsidRDefault="001B75A0" w:rsidP="001B75A0">
      <w:pPr>
        <w:pStyle w:val="Heading1"/>
      </w:pPr>
      <w:r>
        <w:lastRenderedPageBreak/>
        <w:t>Pipeline Governance Rules</w:t>
      </w:r>
    </w:p>
    <w:p w14:paraId="7D76EE2B" w14:textId="77777777" w:rsidR="001B75A0" w:rsidRPr="001B75A0" w:rsidRDefault="001B75A0" w:rsidP="001B75A0"/>
    <w:p w14:paraId="4A486743" w14:textId="63BA1682" w:rsidR="001B75A0" w:rsidRPr="001B75A0" w:rsidRDefault="001B75A0" w:rsidP="001B75A0">
      <w:pPr>
        <w:pStyle w:val="ListParagraph"/>
        <w:numPr>
          <w:ilvl w:val="0"/>
          <w:numId w:val="8"/>
        </w:numPr>
      </w:pPr>
      <w:r w:rsidRPr="001B75A0">
        <w:t xml:space="preserve">The IR Lead and SETA </w:t>
      </w:r>
      <w:proofErr w:type="spellStart"/>
      <w:r w:rsidRPr="001B75A0">
        <w:t>Programme</w:t>
      </w:r>
      <w:proofErr w:type="spellEnd"/>
      <w:r w:rsidRPr="001B75A0">
        <w:t xml:space="preserve"> Owner are jointly accountable for pipeline activation. Neither may defer activation without written GRC Director approval.</w:t>
      </w:r>
    </w:p>
    <w:p w14:paraId="56AE4836" w14:textId="1185F380" w:rsidR="001B75A0" w:rsidRPr="001B75A0" w:rsidRDefault="001B75A0" w:rsidP="001B75A0">
      <w:pPr>
        <w:pStyle w:val="ListParagraph"/>
        <w:numPr>
          <w:ilvl w:val="0"/>
          <w:numId w:val="8"/>
        </w:numPr>
      </w:pPr>
      <w:r w:rsidRPr="001B75A0">
        <w:t>The 30-day SLA is calculated from PIR completion, not from incident discovery. Delayed PIR completion does not extend the SLA — it is flagged as a separate IR governance issue.</w:t>
      </w:r>
    </w:p>
    <w:p w14:paraId="77151568" w14:textId="4553175C" w:rsidR="001B75A0" w:rsidRPr="001B75A0" w:rsidRDefault="001B75A0" w:rsidP="001B75A0">
      <w:pPr>
        <w:pStyle w:val="ListParagraph"/>
        <w:numPr>
          <w:ilvl w:val="0"/>
          <w:numId w:val="8"/>
        </w:numPr>
      </w:pPr>
      <w:r w:rsidRPr="001B75A0">
        <w:t>Content deployed through this pipeline must be distinguishable from routine training in the LMS — labelled as 'Incident-Responsive Training Update' — so that regulators and auditors can trace it to a specific incident and PIR.</w:t>
      </w:r>
    </w:p>
    <w:p w14:paraId="7EE33628" w14:textId="5DE721F3" w:rsidR="001B75A0" w:rsidRPr="001B75A0" w:rsidRDefault="001B75A0" w:rsidP="001B75A0">
      <w:pPr>
        <w:pStyle w:val="ListParagraph"/>
        <w:numPr>
          <w:ilvl w:val="0"/>
          <w:numId w:val="8"/>
        </w:numPr>
      </w:pPr>
      <w:r w:rsidRPr="001B75A0">
        <w:t>Pipeline performance — number of incidents triggering the pipeline, SLA compliance rate, time to closure — is reported quarterly to the CISO and included in the semi-annual Board Risk Committee SETA report.</w:t>
      </w:r>
    </w:p>
    <w:p w14:paraId="6DA194A4" w14:textId="550FC317" w:rsidR="001B75A0" w:rsidRPr="001B75A0" w:rsidRDefault="001B75A0" w:rsidP="001B75A0">
      <w:pPr>
        <w:pStyle w:val="ListParagraph"/>
        <w:numPr>
          <w:ilvl w:val="0"/>
          <w:numId w:val="8"/>
        </w:numPr>
      </w:pPr>
      <w:r w:rsidRPr="001B75A0">
        <w:t>If the same behaviour failure mode triggers the pipeline twice within 12 months, a Root Cause Escalation is mandatory. The GRC Director must present a structural remediation plan to the CRO within 30 days.</w:t>
      </w:r>
    </w:p>
    <w:p w14:paraId="6AD03802" w14:textId="77777777" w:rsidR="001B75A0" w:rsidRPr="001B75A0" w:rsidRDefault="001B75A0" w:rsidP="001B75A0"/>
    <w:p w14:paraId="49589EBA" w14:textId="5E7DDB6B" w:rsidR="001B75A0" w:rsidRDefault="00D33ADF" w:rsidP="001B75A0">
      <w:pPr>
        <w:pStyle w:val="Heading1"/>
      </w:pPr>
      <w:r w:rsidRPr="001B75A0">
        <w:lastRenderedPageBreak/>
        <w:t>Sources And Regulatory Basis</w:t>
      </w:r>
    </w:p>
    <w:p w14:paraId="28AA5E50" w14:textId="77777777" w:rsidR="001B75A0" w:rsidRPr="001B75A0" w:rsidRDefault="001B75A0" w:rsidP="001B75A0"/>
    <w:p w14:paraId="7F5FC6C0" w14:textId="45D39F36" w:rsidR="001B75A0" w:rsidRPr="001B75A0" w:rsidRDefault="001B75A0" w:rsidP="001B75A0">
      <w:r w:rsidRPr="001B75A0">
        <w:t>NIST SP 800-50 (Building an Information Technology Security Awareness and Training Program); NIST SP 800-53 Rev. 5 AT Control Family; HIPAA §164.308(a)(5); FFIEC IT Examination Handbook — Information Security Booklet; NY DFS 23 NYCRR §500.14; PCI DSS v4.0</w:t>
      </w:r>
    </w:p>
    <w:p w14:paraId="1B75A690" w14:textId="77777777" w:rsidR="001B75A0" w:rsidRDefault="001B75A0" w:rsidP="001B75A0"/>
    <w:p w14:paraId="55353F57" w14:textId="1A3F4E42" w:rsidR="0023574E" w:rsidRDefault="0023574E" w:rsidP="001B75A0"/>
    <w:p w14:paraId="0AFC6C78" w14:textId="77777777" w:rsidR="00F71106" w:rsidRDefault="00F71106" w:rsidP="001B75A0"/>
    <w:p w14:paraId="64FE493E" w14:textId="77777777" w:rsidR="00E5744F" w:rsidRDefault="00E5744F" w:rsidP="001B75A0"/>
    <w:p w14:paraId="583DBED8" w14:textId="77777777" w:rsidR="00F831FD" w:rsidRDefault="00F831FD" w:rsidP="001B75A0"/>
    <w:p w14:paraId="759E0F5A" w14:textId="77777777" w:rsidR="00981961" w:rsidRDefault="00981961" w:rsidP="001B75A0"/>
    <w:p w14:paraId="66019C2E" w14:textId="77777777" w:rsidR="00B36954" w:rsidRDefault="00B36954" w:rsidP="001B75A0"/>
    <w:p w14:paraId="33202F10" w14:textId="55DD7EAA" w:rsidR="008F6A70" w:rsidRPr="001B75A0" w:rsidRDefault="008F6A70" w:rsidP="001B75A0"/>
    <w:sectPr w:rsidR="008F6A70" w:rsidRPr="001B75A0" w:rsidSect="00E900E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F7A1C"/>
    <w:multiLevelType w:val="hybridMultilevel"/>
    <w:tmpl w:val="C3369BE6"/>
    <w:lvl w:ilvl="0" w:tplc="49187750">
      <w:start w:val="10"/>
      <w:numFmt w:val="bullet"/>
      <w:lvlText w:val="•"/>
      <w:lvlJc w:val="left"/>
      <w:pPr>
        <w:ind w:left="720" w:hanging="360"/>
      </w:pPr>
      <w:rPr>
        <w:rFonts w:ascii="Aptos" w:eastAsia="Arial" w:hAnsi="Aptos" w:cs="Arial" w:hint="default"/>
        <w:b/>
        <w:color w:val="2E75B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1D45A1"/>
    <w:multiLevelType w:val="hybridMultilevel"/>
    <w:tmpl w:val="52B8BDCC"/>
    <w:lvl w:ilvl="0" w:tplc="24B202B0">
      <w:start w:val="10"/>
      <w:numFmt w:val="bullet"/>
      <w:lvlText w:val="•"/>
      <w:lvlJc w:val="left"/>
      <w:pPr>
        <w:ind w:left="720" w:hanging="360"/>
      </w:pPr>
      <w:rPr>
        <w:rFonts w:ascii="Aptos" w:eastAsia="Arial" w:hAnsi="Apto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6B088A"/>
    <w:multiLevelType w:val="hybridMultilevel"/>
    <w:tmpl w:val="AF9099C4"/>
    <w:lvl w:ilvl="0" w:tplc="24B202B0">
      <w:start w:val="10"/>
      <w:numFmt w:val="bullet"/>
      <w:lvlText w:val="•"/>
      <w:lvlJc w:val="left"/>
      <w:pPr>
        <w:ind w:left="720" w:hanging="360"/>
      </w:pPr>
      <w:rPr>
        <w:rFonts w:ascii="Aptos" w:eastAsia="Arial" w:hAnsi="Apto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B77E5C"/>
    <w:multiLevelType w:val="hybridMultilevel"/>
    <w:tmpl w:val="710EC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205D0B"/>
    <w:multiLevelType w:val="hybridMultilevel"/>
    <w:tmpl w:val="D012F282"/>
    <w:lvl w:ilvl="0" w:tplc="49187750">
      <w:start w:val="10"/>
      <w:numFmt w:val="bullet"/>
      <w:lvlText w:val="•"/>
      <w:lvlJc w:val="left"/>
      <w:pPr>
        <w:ind w:left="720" w:hanging="360"/>
      </w:pPr>
      <w:rPr>
        <w:rFonts w:ascii="Aptos" w:eastAsia="Arial" w:hAnsi="Aptos" w:cs="Arial" w:hint="default"/>
        <w:b/>
        <w:color w:val="2E75B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BF1F5C"/>
    <w:multiLevelType w:val="hybridMultilevel"/>
    <w:tmpl w:val="81FE79A2"/>
    <w:lvl w:ilvl="0" w:tplc="DF72CFC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535E98"/>
    <w:multiLevelType w:val="hybridMultilevel"/>
    <w:tmpl w:val="6B6EC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6B023B"/>
    <w:multiLevelType w:val="hybridMultilevel"/>
    <w:tmpl w:val="F77CF306"/>
    <w:lvl w:ilvl="0" w:tplc="1E667BB2">
      <w:start w:val="6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D86E0D"/>
    <w:multiLevelType w:val="hybridMultilevel"/>
    <w:tmpl w:val="9378DA68"/>
    <w:lvl w:ilvl="0" w:tplc="1E667BB2">
      <w:start w:val="5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3E05F9"/>
    <w:multiLevelType w:val="hybridMultilevel"/>
    <w:tmpl w:val="AD1CB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7D1C6A"/>
    <w:multiLevelType w:val="hybridMultilevel"/>
    <w:tmpl w:val="7758C9A2"/>
    <w:lvl w:ilvl="0" w:tplc="24B202B0">
      <w:start w:val="10"/>
      <w:numFmt w:val="bullet"/>
      <w:lvlText w:val="•"/>
      <w:lvlJc w:val="left"/>
      <w:pPr>
        <w:ind w:left="720" w:hanging="360"/>
      </w:pPr>
      <w:rPr>
        <w:rFonts w:ascii="Aptos" w:eastAsia="Arial" w:hAnsi="Apto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379498">
    <w:abstractNumId w:val="9"/>
  </w:num>
  <w:num w:numId="2" w16cid:durableId="700008443">
    <w:abstractNumId w:val="4"/>
  </w:num>
  <w:num w:numId="3" w16cid:durableId="662779447">
    <w:abstractNumId w:val="0"/>
  </w:num>
  <w:num w:numId="4" w16cid:durableId="1228569734">
    <w:abstractNumId w:val="5"/>
  </w:num>
  <w:num w:numId="5" w16cid:durableId="353384176">
    <w:abstractNumId w:val="6"/>
  </w:num>
  <w:num w:numId="6" w16cid:durableId="1154493452">
    <w:abstractNumId w:val="1"/>
  </w:num>
  <w:num w:numId="7" w16cid:durableId="1639874037">
    <w:abstractNumId w:val="10"/>
  </w:num>
  <w:num w:numId="8" w16cid:durableId="1368529703">
    <w:abstractNumId w:val="2"/>
  </w:num>
  <w:num w:numId="9" w16cid:durableId="887306553">
    <w:abstractNumId w:val="7"/>
  </w:num>
  <w:num w:numId="10" w16cid:durableId="1880359960">
    <w:abstractNumId w:val="3"/>
  </w:num>
  <w:num w:numId="11" w16cid:durableId="11710258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0E2"/>
    <w:rsid w:val="00045994"/>
    <w:rsid w:val="000A67F6"/>
    <w:rsid w:val="00137CB1"/>
    <w:rsid w:val="001B40FA"/>
    <w:rsid w:val="001B75A0"/>
    <w:rsid w:val="001C6FED"/>
    <w:rsid w:val="002019CA"/>
    <w:rsid w:val="0022286D"/>
    <w:rsid w:val="0023574E"/>
    <w:rsid w:val="002D075E"/>
    <w:rsid w:val="002D7099"/>
    <w:rsid w:val="002D78B6"/>
    <w:rsid w:val="003B624A"/>
    <w:rsid w:val="003F012E"/>
    <w:rsid w:val="003F69FB"/>
    <w:rsid w:val="00400844"/>
    <w:rsid w:val="004770E8"/>
    <w:rsid w:val="0048407C"/>
    <w:rsid w:val="004A1AFF"/>
    <w:rsid w:val="004E664C"/>
    <w:rsid w:val="00513ACD"/>
    <w:rsid w:val="00570550"/>
    <w:rsid w:val="00627865"/>
    <w:rsid w:val="00635AD2"/>
    <w:rsid w:val="006A45D4"/>
    <w:rsid w:val="00711FA4"/>
    <w:rsid w:val="00761786"/>
    <w:rsid w:val="007C77D8"/>
    <w:rsid w:val="00827520"/>
    <w:rsid w:val="00827C13"/>
    <w:rsid w:val="008901FB"/>
    <w:rsid w:val="008F6A70"/>
    <w:rsid w:val="00941C24"/>
    <w:rsid w:val="00964F55"/>
    <w:rsid w:val="00981961"/>
    <w:rsid w:val="00994285"/>
    <w:rsid w:val="009B5DD8"/>
    <w:rsid w:val="00A564F5"/>
    <w:rsid w:val="00B15D2B"/>
    <w:rsid w:val="00B36954"/>
    <w:rsid w:val="00B72DF5"/>
    <w:rsid w:val="00BA2348"/>
    <w:rsid w:val="00BD4D5C"/>
    <w:rsid w:val="00BD714B"/>
    <w:rsid w:val="00C556F3"/>
    <w:rsid w:val="00C76241"/>
    <w:rsid w:val="00C76ABA"/>
    <w:rsid w:val="00C90770"/>
    <w:rsid w:val="00CD449B"/>
    <w:rsid w:val="00D10DCD"/>
    <w:rsid w:val="00D123CF"/>
    <w:rsid w:val="00D33ADF"/>
    <w:rsid w:val="00E5744F"/>
    <w:rsid w:val="00E900E2"/>
    <w:rsid w:val="00F71106"/>
    <w:rsid w:val="00F831FD"/>
    <w:rsid w:val="00F97349"/>
    <w:rsid w:val="00FB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A9C8A"/>
  <w15:chartTrackingRefBased/>
  <w15:docId w15:val="{8F0287CB-8A49-49C8-AE10-138414173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0E2"/>
    <w:pPr>
      <w:spacing w:before="80" w:after="80" w:line="240" w:lineRule="auto"/>
      <w:jc w:val="both"/>
    </w:pPr>
    <w:rPr>
      <w:rFonts w:eastAsia="Arial" w:cs="Arial"/>
      <w:color w:val="000000" w:themeColor="text1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00E2"/>
    <w:pPr>
      <w:keepNext/>
      <w:keepLines/>
      <w:pageBreakBefore/>
      <w:spacing w:before="360"/>
      <w:jc w:val="center"/>
      <w:outlineLvl w:val="0"/>
    </w:pPr>
    <w:rPr>
      <w:rFonts w:asciiTheme="majorHAnsi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00E2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0E2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0E2"/>
    <w:pPr>
      <w:keepNext/>
      <w:keepLines/>
      <w:spacing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0E2"/>
    <w:pPr>
      <w:keepNext/>
      <w:keepLines/>
      <w:spacing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0E2"/>
    <w:rPr>
      <w:rFonts w:asciiTheme="majorHAnsi" w:eastAsia="Arial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90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0E2"/>
    <w:pPr>
      <w:contextualSpacing/>
      <w:jc w:val="center"/>
    </w:pPr>
    <w:rPr>
      <w:rFonts w:asciiTheme="majorHAnsi" w:hAnsiTheme="majorHAnsi" w:cstheme="majorBidi"/>
      <w:color w:val="00206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0E2"/>
    <w:rPr>
      <w:rFonts w:asciiTheme="majorHAnsi" w:eastAsia="Arial" w:hAnsiTheme="majorHAnsi" w:cstheme="majorBidi"/>
      <w:color w:val="002060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0E2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E900E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6748</TotalTime>
  <Pages>7</Pages>
  <Words>951</Words>
  <Characters>5422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Seta Programme Charter</vt:lpstr>
    </vt:vector>
  </TitlesOfParts>
  <Company/>
  <LinksUpToDate>false</LinksUpToDate>
  <CharactersWithSpaces>6361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Incident-to-Training Pipeline Protocol</dc:title>
  <dc:subject/>
  <dc:creator>Ebiye Elton</dc:creator>
  <cp:keywords/>
  <dc:description/>
  <cp:lastModifiedBy>Ebiye Elton</cp:lastModifiedBy>
  <cp:revision>37</cp:revision>
  <dcterms:created xsi:type="dcterms:W3CDTF">2026-10-07T14:20:00Z</dcterms:created>
  <dcterms:modified xsi:type="dcterms:W3CDTF">2026-10-27T11:35:00Z</dcterms:modified>
</cp:coreProperties>
</file>