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51D7B" w14:textId="2BC7BE64" w:rsidR="00E900E2" w:rsidRPr="00E900E2" w:rsidRDefault="009B5DD8" w:rsidP="009B5DD8">
      <w:pPr>
        <w:jc w:val="center"/>
      </w:pPr>
      <w:r w:rsidRPr="009B5DD8">
        <w:rPr>
          <w:rFonts w:asciiTheme="majorHAnsi" w:hAnsiTheme="majorHAnsi" w:cstheme="majorBidi"/>
          <w:color w:val="002060"/>
          <w:spacing w:val="-10"/>
          <w:kern w:val="28"/>
          <w:sz w:val="56"/>
          <w:szCs w:val="56"/>
        </w:rPr>
        <w:t>SETA Metrics &amp; Effectiveness Dashboard</w:t>
      </w:r>
    </w:p>
    <w:p w14:paraId="54ADF007" w14:textId="77777777" w:rsidR="00E900E2" w:rsidRDefault="00E900E2" w:rsidP="00E900E2"/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E900E2" w14:paraId="47869937" w14:textId="77777777" w:rsidTr="00627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FDE1DA7" w14:textId="77777777" w:rsidR="00E900E2" w:rsidRDefault="00E900E2" w:rsidP="00E900E2">
            <w:r>
              <w:t>Document Title</w:t>
            </w:r>
          </w:p>
        </w:tc>
        <w:tc>
          <w:tcPr>
            <w:tcW w:w="6560" w:type="dxa"/>
          </w:tcPr>
          <w:p w14:paraId="772452BA" w14:textId="6063C681" w:rsidR="00E900E2" w:rsidRDefault="009B5DD8" w:rsidP="00E90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5DD8">
              <w:t>SETA Metrics &amp; Effectiveness Dashboard</w:t>
            </w:r>
          </w:p>
        </w:tc>
      </w:tr>
      <w:tr w:rsidR="00E900E2" w14:paraId="2A4ED370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1B09F56" w14:textId="77777777" w:rsidR="00E900E2" w:rsidRDefault="00E900E2" w:rsidP="00E900E2">
            <w:r>
              <w:t>Document Owner</w:t>
            </w:r>
          </w:p>
        </w:tc>
        <w:tc>
          <w:tcPr>
            <w:tcW w:w="6560" w:type="dxa"/>
          </w:tcPr>
          <w:p w14:paraId="3FDD5D3D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GRC Director / CISO</w:t>
            </w:r>
          </w:p>
        </w:tc>
      </w:tr>
      <w:tr w:rsidR="00E900E2" w14:paraId="5DAB2042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D124735" w14:textId="77777777" w:rsidR="00E900E2" w:rsidRDefault="00E900E2" w:rsidP="00E900E2">
            <w:r>
              <w:t>Approval Authority</w:t>
            </w:r>
          </w:p>
        </w:tc>
        <w:tc>
          <w:tcPr>
            <w:tcW w:w="6560" w:type="dxa"/>
          </w:tcPr>
          <w:p w14:paraId="314275BA" w14:textId="69D0B01E" w:rsidR="00E900E2" w:rsidRDefault="00941C24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GRC Director</w:t>
            </w:r>
          </w:p>
        </w:tc>
      </w:tr>
      <w:tr w:rsidR="00E900E2" w14:paraId="01A910E4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9016CF4" w14:textId="77777777" w:rsidR="00E900E2" w:rsidRDefault="00E900E2" w:rsidP="00E900E2">
            <w:r>
              <w:t>Review Frequency</w:t>
            </w:r>
          </w:p>
        </w:tc>
        <w:tc>
          <w:tcPr>
            <w:tcW w:w="6560" w:type="dxa"/>
          </w:tcPr>
          <w:p w14:paraId="16BD927A" w14:textId="73DD43C4" w:rsidR="00E900E2" w:rsidRDefault="00045994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Quarter / Year</w:t>
            </w:r>
          </w:p>
        </w:tc>
      </w:tr>
      <w:tr w:rsidR="00E900E2" w14:paraId="2A44220F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DF9A1A4" w14:textId="77777777" w:rsidR="00E900E2" w:rsidRDefault="00E900E2" w:rsidP="00E900E2">
            <w:r>
              <w:t>Classification</w:t>
            </w:r>
          </w:p>
        </w:tc>
        <w:tc>
          <w:tcPr>
            <w:tcW w:w="6560" w:type="dxa"/>
          </w:tcPr>
          <w:p w14:paraId="7CBAEDDD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Confidential — Internal Use Only</w:t>
            </w:r>
          </w:p>
        </w:tc>
      </w:tr>
      <w:tr w:rsidR="00941C24" w14:paraId="790A0853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441330D" w14:textId="65F5A209" w:rsidR="00941C24" w:rsidRDefault="00941C24" w:rsidP="00E900E2">
            <w:r>
              <w:t>Distribution</w:t>
            </w:r>
          </w:p>
        </w:tc>
        <w:tc>
          <w:tcPr>
            <w:tcW w:w="6560" w:type="dxa"/>
          </w:tcPr>
          <w:p w14:paraId="64505642" w14:textId="1125EC24" w:rsidR="00941C24" w:rsidRDefault="00941C24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CISO, CRO, CCO, Audit Committee (semi-annual)</w:t>
            </w:r>
          </w:p>
        </w:tc>
      </w:tr>
      <w:tr w:rsidR="00E900E2" w14:paraId="4BE7C8F1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2DB6D26" w14:textId="77777777" w:rsidR="00E900E2" w:rsidRDefault="00E900E2" w:rsidP="00E900E2">
            <w:r>
              <w:t>Regulatory Basis</w:t>
            </w:r>
          </w:p>
        </w:tc>
        <w:tc>
          <w:tcPr>
            <w:tcW w:w="6560" w:type="dxa"/>
          </w:tcPr>
          <w:p w14:paraId="06F6FA2A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NIST SP 800-50; HIPAA §164.308(a)(5); FFIEC IT Examination Handbook; NY DFS §500.14; PCI DSS v4.0 Req. 12.6</w:t>
            </w:r>
          </w:p>
        </w:tc>
      </w:tr>
      <w:tr w:rsidR="00E900E2" w14:paraId="70BA9A2F" w14:textId="77777777" w:rsidTr="00627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6149B6C" w14:textId="77777777" w:rsidR="00E900E2" w:rsidRDefault="00E900E2" w:rsidP="00E900E2">
            <w:r>
              <w:t>Version</w:t>
            </w:r>
          </w:p>
        </w:tc>
        <w:tc>
          <w:tcPr>
            <w:tcW w:w="6560" w:type="dxa"/>
          </w:tcPr>
          <w:p w14:paraId="2F9B37DB" w14:textId="77777777" w:rsidR="00E900E2" w:rsidRDefault="00E900E2" w:rsidP="00E90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E900E2" w14:paraId="304FFA6A" w14:textId="77777777" w:rsidTr="006278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1B9DDCF" w14:textId="77777777" w:rsidR="00E900E2" w:rsidRDefault="00E900E2" w:rsidP="00E900E2">
            <w:r>
              <w:t>Effective Date</w:t>
            </w:r>
          </w:p>
        </w:tc>
        <w:tc>
          <w:tcPr>
            <w:tcW w:w="6560" w:type="dxa"/>
          </w:tcPr>
          <w:p w14:paraId="127F14DC" w14:textId="77777777" w:rsidR="00E900E2" w:rsidRDefault="00E900E2" w:rsidP="00E90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</w:tbl>
    <w:p w14:paraId="07467AB8" w14:textId="77777777" w:rsidR="00E900E2" w:rsidRDefault="00E900E2" w:rsidP="00E900E2"/>
    <w:p w14:paraId="35DE9FE3" w14:textId="45CE2565" w:rsidR="00E900E2" w:rsidRDefault="00941C24" w:rsidP="00E900E2">
      <w:pPr>
        <w:pStyle w:val="Heading1"/>
      </w:pPr>
      <w:r>
        <w:lastRenderedPageBreak/>
        <w:t>Executive Summary</w:t>
      </w:r>
    </w:p>
    <w:p w14:paraId="0773435F" w14:textId="77777777" w:rsidR="00E900E2" w:rsidRPr="00E900E2" w:rsidRDefault="00E900E2" w:rsidP="00E900E2"/>
    <w:p w14:paraId="742B59AF" w14:textId="77777777" w:rsidR="003F69FB" w:rsidRPr="003F69FB" w:rsidRDefault="003F69FB" w:rsidP="003F69FB">
      <w:r w:rsidRPr="003F69FB">
        <w:t xml:space="preserve">Executive Summary: [2–3 sentence narrative summary of </w:t>
      </w:r>
      <w:proofErr w:type="spellStart"/>
      <w:r w:rsidRPr="003F69FB">
        <w:t>programme</w:t>
      </w:r>
      <w:proofErr w:type="spellEnd"/>
      <w:r w:rsidRPr="003F69FB">
        <w:t xml:space="preserve"> status, most significant trend, and any active remediation actions. Written by GRC Director. Not auto-populated.]</w:t>
      </w:r>
    </w:p>
    <w:p w14:paraId="3E1C89AF" w14:textId="77777777" w:rsidR="003F69FB" w:rsidRDefault="003F69FB" w:rsidP="003F69FB">
      <w:pPr>
        <w:spacing w:after="100"/>
      </w:pPr>
    </w:p>
    <w:p w14:paraId="67DAC2D5" w14:textId="1248EF47" w:rsidR="003F69FB" w:rsidRDefault="003F69FB" w:rsidP="003F69FB">
      <w:pPr>
        <w:pStyle w:val="Heading1"/>
      </w:pPr>
      <w:r>
        <w:lastRenderedPageBreak/>
        <w:t xml:space="preserve">Tier </w:t>
      </w:r>
      <w:r w:rsidR="001C6FED">
        <w:t>1:</w:t>
      </w:r>
      <w:r>
        <w:t xml:space="preserve"> Activity Metrics</w:t>
      </w:r>
    </w:p>
    <w:p w14:paraId="773F0ACC" w14:textId="77777777" w:rsidR="003F69FB" w:rsidRPr="003F69FB" w:rsidRDefault="003F69FB" w:rsidP="003F69FB"/>
    <w:p w14:paraId="4E71516D" w14:textId="77777777" w:rsidR="003F69FB" w:rsidRDefault="003F69FB" w:rsidP="003F69FB">
      <w:r>
        <w:t xml:space="preserve">Necessary but insufficient. These metrics demonstrate </w:t>
      </w:r>
      <w:proofErr w:type="spellStart"/>
      <w:r>
        <w:t>programme</w:t>
      </w:r>
      <w:proofErr w:type="spellEnd"/>
      <w:r>
        <w:t xml:space="preserve"> operation, not </w:t>
      </w:r>
      <w:proofErr w:type="spellStart"/>
      <w:r>
        <w:t>programme</w:t>
      </w:r>
      <w:proofErr w:type="spellEnd"/>
      <w:r>
        <w:t xml:space="preserve"> effectiveness. Completion rates below target trigger escalation. Completion rates at target do not indicate risk reduction without Tier 2 and Tier 3 evidence.</w:t>
      </w:r>
    </w:p>
    <w:p w14:paraId="6C4D9996" w14:textId="77777777" w:rsidR="003F69FB" w:rsidRDefault="003F69FB" w:rsidP="003F69F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7"/>
        <w:gridCol w:w="1879"/>
        <w:gridCol w:w="932"/>
        <w:gridCol w:w="629"/>
        <w:gridCol w:w="629"/>
        <w:gridCol w:w="963"/>
        <w:gridCol w:w="2315"/>
      </w:tblGrid>
      <w:tr w:rsidR="003F69FB" w14:paraId="345F58F8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0B45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TIER 1 — ACTIVITY METRICS</w:t>
            </w:r>
          </w:p>
        </w:tc>
      </w:tr>
      <w:tr w:rsidR="003F69FB" w14:paraId="5FE73B76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E228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FDFD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8424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1985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BEE3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CD74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Q3/YTD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9D74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Governance Notes</w:t>
            </w:r>
          </w:p>
        </w:tc>
      </w:tr>
      <w:tr w:rsidR="003F69FB" w14:paraId="2ADDEDF5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1348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Module Completion Rate — All Workforce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7CD6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assigned employees who completed required modules by deadline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E2C0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95%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C4C1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F442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6124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81C4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Necessary but insufficient. Low completion triggers escalation protocol. Does not demonstrate effectiveness.</w:t>
            </w:r>
          </w:p>
        </w:tc>
      </w:tr>
      <w:tr w:rsidR="003F69FB" w14:paraId="49451565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9ADC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Completion Rate — High-Risk Roles (Tier 1 and 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AF02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Tier 1 and 2 populations completing role-specific modules by deadline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A555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98%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A443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9E3F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8CC2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DF51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Higher threshold applied. Any gap in Tier 1 population is an immediate escalation item.</w:t>
            </w:r>
          </w:p>
        </w:tc>
      </w:tr>
      <w:tr w:rsidR="003F69FB" w14:paraId="2D08B516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9DE7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New Employee On-Time Completion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9B6E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new employees completing baseline training within 30-day window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B62F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0025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4176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4AA5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82AB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100% target is non-negotiable. New employees are highest-vulnerability population.</w:t>
            </w:r>
          </w:p>
        </w:tc>
      </w:tr>
      <w:tr w:rsidR="003F69FB" w14:paraId="6052F91A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D419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Third-Party Vendor Completion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AB62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Tier 1 vendors completing required training within contractual deadline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A273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95%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D311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2357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BD96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FC70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Reported to TPRM Lead. Non-compliant vendors flagged for contract review.</w:t>
            </w:r>
          </w:p>
        </w:tc>
      </w:tr>
      <w:tr w:rsidR="003F69FB" w14:paraId="76B258E4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3EED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Assessment Pass Rate — First Attempt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EAD5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employees passing knowledge assessment on first attempt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B3F6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85%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C241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01F1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5B96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4596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Low pass rate is a content quality or delivery signal, not a workforce failure signal. Triggers content review.</w:t>
            </w:r>
          </w:p>
        </w:tc>
      </w:tr>
    </w:tbl>
    <w:p w14:paraId="33091505" w14:textId="77777777" w:rsidR="003F69FB" w:rsidRDefault="003F69FB" w:rsidP="003F69FB">
      <w:pPr>
        <w:spacing w:after="160"/>
      </w:pPr>
    </w:p>
    <w:p w14:paraId="7E7833C2" w14:textId="4E013ED9" w:rsidR="003F69FB" w:rsidRDefault="001C6FED" w:rsidP="001C6FED">
      <w:pPr>
        <w:pStyle w:val="Heading1"/>
      </w:pPr>
      <w:r>
        <w:lastRenderedPageBreak/>
        <w:t>Tier 2: Behavioural Metrics</w:t>
      </w:r>
    </w:p>
    <w:p w14:paraId="4B89E421" w14:textId="77777777" w:rsidR="001C6FED" w:rsidRPr="001C6FED" w:rsidRDefault="001C6FED" w:rsidP="001C6FED"/>
    <w:p w14:paraId="64669C99" w14:textId="77777777" w:rsidR="003F69FB" w:rsidRPr="001C6FED" w:rsidRDefault="003F69FB" w:rsidP="001C6FED">
      <w:r w:rsidRPr="001C6FED">
        <w:t xml:space="preserve">Primary operational indicators. These metrics measure whether workforce behaviour has changed </w:t>
      </w:r>
      <w:proofErr w:type="gramStart"/>
      <w:r w:rsidRPr="001C6FED">
        <w:t>as a result of</w:t>
      </w:r>
      <w:proofErr w:type="gramEnd"/>
      <w:r w:rsidRPr="001C6FED">
        <w:t xml:space="preserve"> training. Trend direction is more important than any single data point. All Tier 2 metrics are reported to the CISO and reviewed at the quarterly Cross-Domain SETA Working Group.</w:t>
      </w:r>
    </w:p>
    <w:p w14:paraId="4F9294FD" w14:textId="77777777" w:rsidR="003F69FB" w:rsidRDefault="003F69FB" w:rsidP="003F69F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7"/>
        <w:gridCol w:w="1655"/>
        <w:gridCol w:w="1103"/>
        <w:gridCol w:w="643"/>
        <w:gridCol w:w="643"/>
        <w:gridCol w:w="963"/>
        <w:gridCol w:w="2390"/>
      </w:tblGrid>
      <w:tr w:rsidR="003F69FB" w14:paraId="23D537B1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8DF8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TIER 2 — BEHAVIOURAL METRICS</w:t>
            </w:r>
          </w:p>
        </w:tc>
      </w:tr>
      <w:tr w:rsidR="003F69FB" w14:paraId="5942C8C1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378D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E32E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3614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52FD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96D0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A0C6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Q3/YTD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A578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Governance Notes</w:t>
            </w:r>
          </w:p>
        </w:tc>
      </w:tr>
      <w:tr w:rsidR="003F69FB" w14:paraId="494E0BF7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7DFC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Phishing Simulation Click Rate — All Workforce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1FA3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simulation recipients who clicked malicious link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8A0D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&lt;5% (global) / &lt;2% Tier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0CC3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47DD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DDE0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A620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 xml:space="preserve">Primary behavioural indicator. Trend direction more important than absolute figure. Increasing rate triggers immediate </w:t>
            </w:r>
            <w:proofErr w:type="spellStart"/>
            <w:r>
              <w:rPr>
                <w:rFonts w:ascii="Arial" w:hAnsi="Arial"/>
                <w:color w:val="404040"/>
                <w:sz w:val="20"/>
                <w:szCs w:val="20"/>
              </w:rPr>
              <w:t>programme</w:t>
            </w:r>
            <w:proofErr w:type="spell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review.</w:t>
            </w:r>
          </w:p>
        </w:tc>
      </w:tr>
      <w:tr w:rsidR="003F69FB" w14:paraId="7985D227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E39D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Phishing Reporting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D28E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simulation recipients who reported the suspicious 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673B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&gt;30%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0D84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3495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F160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C106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Blameless reporting culture indicator. Rising reporting rate indicates cultural improvement, not just click avoidance.</w:t>
            </w:r>
          </w:p>
        </w:tc>
      </w:tr>
      <w:tr w:rsidR="003F69FB" w14:paraId="4A7767F8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0D3E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Repeat Offender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CCBB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workforce with 2+ simulation failures in rolling 12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E72B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&lt;2%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302A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A967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AEDB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EA9D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 xml:space="preserve">High repeat offender rate indicates remediation </w:t>
            </w:r>
            <w:proofErr w:type="spellStart"/>
            <w:r>
              <w:rPr>
                <w:rFonts w:ascii="Arial" w:hAnsi="Arial"/>
                <w:color w:val="404040"/>
                <w:sz w:val="20"/>
                <w:szCs w:val="20"/>
              </w:rPr>
              <w:t>programme</w:t>
            </w:r>
            <w:proofErr w:type="spell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ineffectiveness. Triggers mandatory enhanced intervention.</w:t>
            </w:r>
          </w:p>
        </w:tc>
      </w:tr>
      <w:tr w:rsidR="003F69FB" w14:paraId="7DD8C60D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7440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Mean Time to Report (MTTR-Report)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AF50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Average time from suspicious activity detection to employee report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77C3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&lt;30 minutes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5CAB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C418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9A80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D971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Critical IR integration metric. Decreasing MTTR-Report has direct incident containment value.</w:t>
            </w:r>
          </w:p>
        </w:tc>
      </w:tr>
      <w:tr w:rsidR="003F69FB" w14:paraId="56128B1F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D730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Vishing Susceptibility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06A8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targeted vishing simulation recipients who disclosed sensitive information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3A0A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&lt;3% Tier 1 / &lt;8% 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8625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24AA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64D2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CF09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Vishing is underreported. Specific to high-risk populations. Reported separately from phishing metrics.</w:t>
            </w:r>
          </w:p>
        </w:tc>
      </w:tr>
      <w:tr w:rsidR="003F69FB" w14:paraId="47D3B916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1209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Content Relevance 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9AB8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 xml:space="preserve">Average employee-rated content relevance on post-training </w:t>
            </w:r>
            <w:r>
              <w:rPr>
                <w:rFonts w:ascii="Arial" w:hAnsi="Arial"/>
                <w:color w:val="404040"/>
                <w:sz w:val="20"/>
                <w:szCs w:val="20"/>
              </w:rPr>
              <w:lastRenderedPageBreak/>
              <w:t>survey (1-5 scale)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4835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lastRenderedPageBreak/>
              <w:t>Target: &gt;4.0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D80C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0014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D031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A1DE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 xml:space="preserve">Low relevance score predicts future click rate increases. Triggers content redesign before </w:t>
            </w:r>
            <w:r>
              <w:rPr>
                <w:rFonts w:ascii="Arial" w:hAnsi="Arial"/>
                <w:color w:val="404040"/>
                <w:sz w:val="20"/>
                <w:szCs w:val="20"/>
              </w:rPr>
              <w:lastRenderedPageBreak/>
              <w:t>behavioural degradation appears.</w:t>
            </w:r>
          </w:p>
        </w:tc>
      </w:tr>
    </w:tbl>
    <w:p w14:paraId="20704926" w14:textId="77777777" w:rsidR="003F69FB" w:rsidRDefault="003F69FB" w:rsidP="003F69FB">
      <w:pPr>
        <w:spacing w:after="160"/>
      </w:pPr>
    </w:p>
    <w:p w14:paraId="0EB30D93" w14:textId="23510FFE" w:rsidR="003F69FB" w:rsidRDefault="001C6FED" w:rsidP="001C6FED">
      <w:pPr>
        <w:pStyle w:val="Heading1"/>
      </w:pPr>
      <w:r>
        <w:lastRenderedPageBreak/>
        <w:t>Tier 3: Outcome Metrics</w:t>
      </w:r>
    </w:p>
    <w:p w14:paraId="7F6633C7" w14:textId="77777777" w:rsidR="001C6FED" w:rsidRPr="001C6FED" w:rsidRDefault="001C6FED" w:rsidP="001C6FED"/>
    <w:p w14:paraId="061C80EB" w14:textId="77777777" w:rsidR="003F69FB" w:rsidRPr="001C6FED" w:rsidRDefault="003F69FB" w:rsidP="001C6FED">
      <w:r w:rsidRPr="001C6FED">
        <w:t xml:space="preserve">Strategic effectiveness indicators. These metrics link the SETA </w:t>
      </w:r>
      <w:proofErr w:type="spellStart"/>
      <w:r w:rsidRPr="001C6FED">
        <w:t>programme</w:t>
      </w:r>
      <w:proofErr w:type="spellEnd"/>
      <w:r w:rsidRPr="001C6FED">
        <w:t xml:space="preserve"> to measurable risk reduction outcomes. They are reported semi-annually to the Board Risk Committee and form the basis for budget justification and </w:t>
      </w:r>
      <w:proofErr w:type="spellStart"/>
      <w:r w:rsidRPr="001C6FED">
        <w:t>programme</w:t>
      </w:r>
      <w:proofErr w:type="spellEnd"/>
      <w:r w:rsidRPr="001C6FED">
        <w:t xml:space="preserve"> investment decisions.</w:t>
      </w:r>
    </w:p>
    <w:p w14:paraId="0E8A79E9" w14:textId="77777777" w:rsidR="003F69FB" w:rsidRDefault="003F69FB" w:rsidP="003F69F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1841"/>
        <w:gridCol w:w="1079"/>
        <w:gridCol w:w="629"/>
        <w:gridCol w:w="629"/>
        <w:gridCol w:w="963"/>
        <w:gridCol w:w="2298"/>
      </w:tblGrid>
      <w:tr w:rsidR="003F69FB" w14:paraId="7B94CA46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9E82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TIER 3 — OUTCOME METRICS</w:t>
            </w:r>
          </w:p>
        </w:tc>
      </w:tr>
      <w:tr w:rsidR="003F69FB" w14:paraId="1F34F4F3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D2BF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B1D9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77BE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B0C8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ACB0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D972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Q3/YTD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A77A" w14:textId="77777777" w:rsidR="003F69FB" w:rsidRDefault="003F69FB" w:rsidP="006C02A5"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Governance Notes</w:t>
            </w:r>
          </w:p>
        </w:tc>
      </w:tr>
      <w:tr w:rsidR="003F69FB" w14:paraId="7F5A2EFD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E1E6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Human-Element Incident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034D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Number of confirmed security incidents with human behaviour as initial access vector per quarter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9D81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YoY decline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3382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CD4F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0353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66C4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Primary outcome metric. Directly links SETA investment to incident reduction. Reported to Board Risk Committee.</w:t>
            </w:r>
          </w:p>
        </w:tc>
      </w:tr>
      <w:tr w:rsidR="003F69FB" w14:paraId="04BB292E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8C2F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Employee-Initiated Detection Volume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ACAE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Number of genuine threats detected and reported by employees (non-simulation)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8599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YoY increase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181E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396C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CE42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94A4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Measures SETA's contribution to the detection architecture. Rising volume indicates workforce is functioning as a genuine sensor layer.</w:t>
            </w:r>
          </w:p>
        </w:tc>
      </w:tr>
      <w:tr w:rsidR="003F69FB" w14:paraId="6CD4AC3A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75C5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Phishing-Enabled Incident Financial 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D8E9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Estimated total financial impact of incidents where phishing was the initial vector in reporting period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5464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YoY decline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2976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$[x]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895B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$[x]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462B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$[x]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BEDC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Board and Audit Committee metric. Converts SETA effectiveness to financial risk language. Calculated in coordination with Risk Management.</w:t>
            </w:r>
          </w:p>
        </w:tc>
      </w:tr>
      <w:tr w:rsidR="003F69FB" w14:paraId="45FD35AD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10A7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Post-Incident SETA Remediation Closure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9994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% of incident-triggered SETA content updates completed within defined SLA (30 days)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A479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8A67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6018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47EA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DBFD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Measures Incident-to-Training Pipeline effectiveness. 100% target. Any miss is a pipeline governance failure.</w:t>
            </w:r>
          </w:p>
        </w:tc>
      </w:tr>
      <w:tr w:rsidR="003F69FB" w14:paraId="17B48325" w14:textId="77777777" w:rsidTr="001C6F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139B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Vendor-Attributed Incident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D66F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Number of incidents where third-party human behaviour was a contributing factor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31D8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Target: 0 per year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1D4A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4FFC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67EA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4F1A" w14:textId="77777777" w:rsidR="003F69FB" w:rsidRDefault="003F69FB" w:rsidP="006C02A5">
            <w:r>
              <w:rPr>
                <w:rFonts w:ascii="Arial" w:hAnsi="Arial"/>
                <w:color w:val="404040"/>
                <w:sz w:val="20"/>
                <w:szCs w:val="20"/>
              </w:rPr>
              <w:t xml:space="preserve">TPRM integration metric. Non-zero rate triggers mandatory vendor SETA </w:t>
            </w:r>
            <w:proofErr w:type="spellStart"/>
            <w:r>
              <w:rPr>
                <w:rFonts w:ascii="Arial" w:hAnsi="Arial"/>
                <w:color w:val="404040"/>
                <w:sz w:val="20"/>
                <w:szCs w:val="20"/>
              </w:rPr>
              <w:t>programme</w:t>
            </w:r>
            <w:proofErr w:type="spellEnd"/>
            <w:r>
              <w:rPr>
                <w:rFonts w:ascii="Arial" w:hAnsi="Arial"/>
                <w:color w:val="404040"/>
                <w:sz w:val="20"/>
                <w:szCs w:val="20"/>
              </w:rPr>
              <w:t xml:space="preserve"> audit.</w:t>
            </w:r>
          </w:p>
        </w:tc>
      </w:tr>
    </w:tbl>
    <w:p w14:paraId="0317EF19" w14:textId="77777777" w:rsidR="003F69FB" w:rsidRDefault="003F69FB" w:rsidP="003F69FB">
      <w:pPr>
        <w:spacing w:after="160"/>
      </w:pPr>
    </w:p>
    <w:p w14:paraId="483C3E97" w14:textId="5D3AC965" w:rsidR="003F69FB" w:rsidRDefault="001C6FED" w:rsidP="001C6FED">
      <w:pPr>
        <w:pStyle w:val="Heading1"/>
      </w:pPr>
      <w:r>
        <w:lastRenderedPageBreak/>
        <w:t>Dashboard Governance Rules</w:t>
      </w:r>
    </w:p>
    <w:p w14:paraId="5E20A74E" w14:textId="77777777" w:rsidR="001C6FED" w:rsidRPr="001C6FED" w:rsidRDefault="001C6FED" w:rsidP="001C6FED"/>
    <w:p w14:paraId="4A39FCA7" w14:textId="6759A79D" w:rsidR="003F69FB" w:rsidRPr="001C6FED" w:rsidRDefault="003F69FB" w:rsidP="001C6FED">
      <w:pPr>
        <w:pStyle w:val="ListParagraph"/>
        <w:numPr>
          <w:ilvl w:val="0"/>
          <w:numId w:val="6"/>
        </w:numPr>
      </w:pPr>
      <w:r w:rsidRPr="001C6FED">
        <w:t xml:space="preserve">Tier 1 metrics are reported quarterly to the CISO. They are not presented to the Board Risk Committee as standalone evidence of </w:t>
      </w:r>
      <w:proofErr w:type="spellStart"/>
      <w:r w:rsidRPr="001C6FED">
        <w:t>programme</w:t>
      </w:r>
      <w:proofErr w:type="spellEnd"/>
      <w:r w:rsidRPr="001C6FED">
        <w:t xml:space="preserve"> effectiveness.</w:t>
      </w:r>
    </w:p>
    <w:p w14:paraId="2D9E5C53" w14:textId="421B61CA" w:rsidR="003F69FB" w:rsidRPr="001C6FED" w:rsidRDefault="003F69FB" w:rsidP="001C6FED">
      <w:pPr>
        <w:pStyle w:val="ListParagraph"/>
        <w:numPr>
          <w:ilvl w:val="0"/>
          <w:numId w:val="6"/>
        </w:numPr>
      </w:pPr>
      <w:r w:rsidRPr="001C6FED">
        <w:t>Tier 2 metrics are reported quarterly to the CISO and CCO, and semi-annually to the Board Risk Committee as part of the integrated SETA effectiveness report.</w:t>
      </w:r>
    </w:p>
    <w:p w14:paraId="2F48A4D6" w14:textId="571F561A" w:rsidR="003F69FB" w:rsidRPr="001C6FED" w:rsidRDefault="003F69FB" w:rsidP="001C6FED">
      <w:pPr>
        <w:pStyle w:val="ListParagraph"/>
        <w:numPr>
          <w:ilvl w:val="0"/>
          <w:numId w:val="6"/>
        </w:numPr>
      </w:pPr>
      <w:r w:rsidRPr="001C6FED">
        <w:t>Tier 3 metrics are reported semi-annually to the Board Risk Committee and annually to the full Board as part of the enterprise cyber risk report.</w:t>
      </w:r>
    </w:p>
    <w:p w14:paraId="10E86090" w14:textId="2A7A60E3" w:rsidR="003F69FB" w:rsidRPr="001C6FED" w:rsidRDefault="003F69FB" w:rsidP="001C6FED">
      <w:pPr>
        <w:pStyle w:val="ListParagraph"/>
        <w:numPr>
          <w:ilvl w:val="0"/>
          <w:numId w:val="6"/>
        </w:numPr>
      </w:pPr>
      <w:r w:rsidRPr="001C6FED">
        <w:t xml:space="preserve">Any single Tier 2 metric that moves adversely for two consecutive quarters triggers a mandatory </w:t>
      </w:r>
      <w:proofErr w:type="spellStart"/>
      <w:r w:rsidRPr="001C6FED">
        <w:t>programme</w:t>
      </w:r>
      <w:proofErr w:type="spellEnd"/>
      <w:r w:rsidRPr="001C6FED">
        <w:t xml:space="preserve"> review within 30 days.</w:t>
      </w:r>
    </w:p>
    <w:p w14:paraId="3DCD3E58" w14:textId="332D5305" w:rsidR="003F69FB" w:rsidRPr="001C6FED" w:rsidRDefault="003F69FB" w:rsidP="001C6FED">
      <w:pPr>
        <w:pStyle w:val="ListParagraph"/>
        <w:numPr>
          <w:ilvl w:val="0"/>
          <w:numId w:val="6"/>
        </w:numPr>
      </w:pPr>
      <w:r w:rsidRPr="001C6FED">
        <w:t>Any Tier 3 metric that moves adversely in any reporting period triggers an immediate briefing to the CRO and CISO, with a remediation plan presented to the Board Risk Committee at the next scheduled meeting.</w:t>
      </w:r>
    </w:p>
    <w:p w14:paraId="05DD7B22" w14:textId="1A52F052" w:rsidR="003F69FB" w:rsidRPr="001C6FED" w:rsidRDefault="003F69FB" w:rsidP="001C6FED">
      <w:pPr>
        <w:pStyle w:val="ListParagraph"/>
        <w:numPr>
          <w:ilvl w:val="0"/>
          <w:numId w:val="6"/>
        </w:numPr>
      </w:pPr>
      <w:r w:rsidRPr="001C6FED">
        <w:t xml:space="preserve">This dashboard is populated by the SETA </w:t>
      </w:r>
      <w:proofErr w:type="spellStart"/>
      <w:r w:rsidRPr="001C6FED">
        <w:t>Programme</w:t>
      </w:r>
      <w:proofErr w:type="spellEnd"/>
      <w:r w:rsidRPr="001C6FED">
        <w:t xml:space="preserve"> Owner. Data sources must be cited for each metric. No metric may be marked N/A without written justification from the GRC Director.</w:t>
      </w:r>
    </w:p>
    <w:p w14:paraId="1CC96D91" w14:textId="531DCFAA" w:rsidR="003F69FB" w:rsidRDefault="003F69FB" w:rsidP="003F69FB"/>
    <w:sectPr w:rsidR="003F69FB" w:rsidSect="00E900E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F7A1C"/>
    <w:multiLevelType w:val="hybridMultilevel"/>
    <w:tmpl w:val="C3369BE6"/>
    <w:lvl w:ilvl="0" w:tplc="4918775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D45A1"/>
    <w:multiLevelType w:val="hybridMultilevel"/>
    <w:tmpl w:val="52B8BDCC"/>
    <w:lvl w:ilvl="0" w:tplc="24B202B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05D0B"/>
    <w:multiLevelType w:val="hybridMultilevel"/>
    <w:tmpl w:val="D012F282"/>
    <w:lvl w:ilvl="0" w:tplc="49187750">
      <w:start w:val="10"/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F1F5C"/>
    <w:multiLevelType w:val="hybridMultilevel"/>
    <w:tmpl w:val="81FE79A2"/>
    <w:lvl w:ilvl="0" w:tplc="DF72CFC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35E98"/>
    <w:multiLevelType w:val="hybridMultilevel"/>
    <w:tmpl w:val="6B6EC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E05F9"/>
    <w:multiLevelType w:val="hybridMultilevel"/>
    <w:tmpl w:val="AD1CB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379498">
    <w:abstractNumId w:val="5"/>
  </w:num>
  <w:num w:numId="2" w16cid:durableId="700008443">
    <w:abstractNumId w:val="2"/>
  </w:num>
  <w:num w:numId="3" w16cid:durableId="662779447">
    <w:abstractNumId w:val="0"/>
  </w:num>
  <w:num w:numId="4" w16cid:durableId="1228569734">
    <w:abstractNumId w:val="3"/>
  </w:num>
  <w:num w:numId="5" w16cid:durableId="353384176">
    <w:abstractNumId w:val="4"/>
  </w:num>
  <w:num w:numId="6" w16cid:durableId="1154493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E2"/>
    <w:rsid w:val="00045994"/>
    <w:rsid w:val="000A67F6"/>
    <w:rsid w:val="001C6FED"/>
    <w:rsid w:val="0022286D"/>
    <w:rsid w:val="003B624A"/>
    <w:rsid w:val="003F69FB"/>
    <w:rsid w:val="004A1AFF"/>
    <w:rsid w:val="004E664C"/>
    <w:rsid w:val="00513ACD"/>
    <w:rsid w:val="00570550"/>
    <w:rsid w:val="00627865"/>
    <w:rsid w:val="006A45D4"/>
    <w:rsid w:val="00941C24"/>
    <w:rsid w:val="00964F55"/>
    <w:rsid w:val="009B5DD8"/>
    <w:rsid w:val="00BD714B"/>
    <w:rsid w:val="00C556F3"/>
    <w:rsid w:val="00C76241"/>
    <w:rsid w:val="00C76ABA"/>
    <w:rsid w:val="00E900E2"/>
    <w:rsid w:val="00FB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9C8A"/>
  <w15:chartTrackingRefBased/>
  <w15:docId w15:val="{8F0287CB-8A49-49C8-AE10-13841417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0E2"/>
    <w:pPr>
      <w:spacing w:before="80" w:after="80" w:line="240" w:lineRule="auto"/>
      <w:jc w:val="both"/>
    </w:pPr>
    <w:rPr>
      <w:rFonts w:eastAsia="Arial" w:cs="Arial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E2"/>
    <w:pPr>
      <w:keepNext/>
      <w:keepLines/>
      <w:pageBreakBefore/>
      <w:spacing w:before="360"/>
      <w:jc w:val="center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E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E2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E2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E2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E2"/>
    <w:rPr>
      <w:rFonts w:asciiTheme="majorHAnsi" w:eastAsia="Arial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9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E2"/>
    <w:pPr>
      <w:contextualSpacing/>
      <w:jc w:val="center"/>
    </w:pPr>
    <w:rPr>
      <w:rFonts w:asciiTheme="majorHAnsi" w:hAnsiTheme="majorHAnsi" w:cstheme="majorBidi"/>
      <w:color w:val="00206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E2"/>
    <w:rPr>
      <w:rFonts w:asciiTheme="majorHAnsi" w:eastAsia="Arial" w:hAnsiTheme="majorHAnsi" w:cstheme="majorBidi"/>
      <w:color w:val="002060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E2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E900E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Seta Programme Charter</vt:lpstr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SETA Metrics &amp; Effectiveness Dashboard</dc:title>
  <dc:subject/>
  <dc:creator>Ebiye Elton</dc:creator>
  <cp:keywords/>
  <dc:description/>
  <cp:lastModifiedBy>Ebiye Elton</cp:lastModifiedBy>
  <cp:revision>7</cp:revision>
  <dcterms:created xsi:type="dcterms:W3CDTF">2026-10-07T14:14:00Z</dcterms:created>
  <dcterms:modified xsi:type="dcterms:W3CDTF">2026-10-07T14:20:00Z</dcterms:modified>
</cp:coreProperties>
</file>