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27. Mai 1966</w:t>
      </w:r>
    </w:p>
    <w:p>
      <w:pPr>
        <w:spacing w:before="0" w:after="360"/>
        <w:jc w:val="left"/>
      </w:pPr>
      <w:r>
        <w:rPr>
          <w:rFonts w:ascii="Times New Roman" w:hAnsi="Times New Roman"/>
          <w:b w:val="0"/>
          <w:color w:val="000000"/>
          <w:sz w:val="22"/>
        </w:rPr>
        <w:t>An einen Gläubigen</w:t>
      </w:r>
    </w:p>
    <w:p>
      <w:pPr>
        <w:spacing w:before="0" w:after="160" w:line="276" w:lineRule="auto"/>
        <w:jc w:val="both"/>
      </w:pPr>
      <w:r>
        <w:rPr>
          <w:rFonts w:ascii="Times New Roman" w:hAnsi="Times New Roman"/>
          <w:color w:val="000000"/>
          <w:sz w:val="22"/>
        </w:rPr>
        <w:t>... Sie äußern Zweifel über den Zeitpunkt der Wahl des Universalen Hauses der Gerechtigkeit im Hinblick auf die Äußerung des Hüters: »... wenn günstige Umstände gegeben sind, unter denen die Bahá’í Persiens und der angrenzenden Länder unter sowjetischer Herrschaft in der Lage sein werden, ihre nationalen Vertreter zu wählen, ... wird das einzig noch bestehende Hindernis auf dem Weg einer endgültigen Bildung des Internationalen Hauses der Gerechtigkeit beseitigt sein.« Am 19. April 1947 ließ der Hüter eine Anfrage eines Gläubigen zu dieser Stelle durch seinen Sekretär wie folgt beantworten: »Zu der Zeit, als er von Rußland sprach, gab es dort Bahá’í; aber nun hat die Gemeinde praktisch aufgehört zu bestehen.</w:t>
      </w:r>
    </w:p>
    <w:p>
      <w:pPr>
        <w:spacing w:before="0" w:after="160" w:line="276" w:lineRule="auto"/>
        <w:jc w:val="both"/>
      </w:pPr>
      <w:r>
        <w:rPr>
          <w:rFonts w:ascii="Times New Roman" w:hAnsi="Times New Roman"/>
          <w:color w:val="000000"/>
          <w:sz w:val="22"/>
        </w:rPr>
        <w:t>Deshalb kann die Bildung des Internationalen Hauses der Gerechtigkeit nicht von einem russischen Nationalen Geistigen Rat abhängen, sondern andere starke Nationale Geistige Räte müssen gebildet werden, bevor es errichtet werden kann.«</w:t>
      </w:r>
    </w:p>
    <w:p>
      <w:pPr>
        <w:spacing w:before="0" w:after="160" w:line="276" w:lineRule="auto"/>
        <w:jc w:val="both"/>
      </w:pPr>
      <w:r>
        <w:rPr>
          <w:rFonts w:ascii="Times New Roman" w:hAnsi="Times New Roman"/>
          <w:color w:val="000000"/>
          <w:sz w:val="22"/>
        </w:rPr>
        <w:t>Sie deuten die Möglichkeit an, daß um der Sache willen gewisse Informationen, die die Nachfolge Shoghi Effendis betreffen, den Gläubigen vorenthalten werden. Wir versichern Ihnen, daß nichts - gar nichts den Freunden aus irgendeinem Grunde vorenthalten wird. Es gibt überhaupt keinen Zweifel daran, daß Shoghi Effendi nach dem Willen und Testament</w:t>
      </w:r>
    </w:p>
    <w:p>
      <w:pPr>
        <w:spacing w:before="0" w:after="160" w:line="276" w:lineRule="auto"/>
        <w:jc w:val="both"/>
      </w:pPr>
      <w:r>
        <w:rPr>
          <w:rFonts w:ascii="Times New Roman" w:hAnsi="Times New Roman"/>
          <w:color w:val="000000"/>
          <w:sz w:val="22"/>
        </w:rPr>
        <w:t>`Abdu’l-Bahás selbst mit der Autorität ausgestattet war, seinen Nachfolger zu ernennen; aber er hatte keine Kinder, und alle überlebenden Agh.sán hatten das Bündnis gebrochen. Damit ist es, wie die Hände der Sache im Jahre 1957 feststellten, klar, daß es niemanden gab, den er im Einklang mit den Bestimmungen des Letzten Willens hätte ernennen können. Eine Ernennung außerhalb der klaren und ausdrücklichen Bestimmungen vom Willen und Testament des Meisters vorzunehmen, wäre augenscheinlich für den Hüter, den göttlich ernannten Bannerträger und Verteidiger des Bündnisses, eine unmögliche und undenkbare Handlungsweise gewesen. Überdies hat, wie Sie ja wissen, eben dieser Letzte Wille ein klares Verfahren zur Bestätigung der durch den Hüter ausgesprochenen Ernennung seines Nachfolgers vorgesehen. Die neun Hände, die von der Körperschaft der Hände zu wählen waren, mußten ihre Zustimmung zu der Wahl des Hüters in geheimer Abstimmung geben. Im Jahre 1957 verkündete die ganze Körperschaft der Hände, nachdem sie die Angelegenheit eingehend untersucht hatte, daß Shoghi Effendi weder einen Nachfolger ernannt noch einen Letzten Willen hinterlassen hatte. Dies ist dokumentarisch niedergelegt und festgehalten.</w:t>
      </w:r>
    </w:p>
    <w:p>
      <w:pPr>
        <w:spacing w:before="0" w:after="160" w:line="276" w:lineRule="auto"/>
        <w:jc w:val="both"/>
      </w:pPr>
      <w:r>
        <w:rPr>
          <w:rFonts w:ascii="Times New Roman" w:hAnsi="Times New Roman"/>
          <w:color w:val="000000"/>
          <w:sz w:val="22"/>
        </w:rPr>
        <w:t>Die Tatsache, daß Shoghi Effendi keinen Letzten Willen hinterließ, kann nicht als Beweis eines Ungehorsams gegenüber Bahá’u’lláh gedeutet werden - wir sollten vielmehr anerkennen, daß gerade in diesem seinem Schweigen eine Weisheit liegt und ein Zeichen seiner unfehlbaren Führung. Wir sollten tief über die Schriften, die wir haben, nachdenken und die vielfältigen Bedeutungen, die sie enthalten, zu verstehen suchen. Vergessen Sie die Aussage Shoghi Effendis nicht, daß zwei Dinge für ein besseres Verständnis der Weltordnung Bahá’u’lláhs nötig wären: das Verstreichen der Zeit und die Führung des Universalen Hauses der Gerechtigkeit.</w:t>
      </w:r>
    </w:p>
    <w:p>
      <w:pPr>
        <w:spacing w:before="0" w:after="160" w:line="276" w:lineRule="auto"/>
        <w:jc w:val="both"/>
      </w:pPr>
      <w:r>
        <w:rPr>
          <w:rFonts w:ascii="Times New Roman" w:hAnsi="Times New Roman"/>
          <w:color w:val="000000"/>
          <w:sz w:val="22"/>
        </w:rPr>
        <w:t>Die Unfehlbarkeit des Universalen Hauses der Gerechtigkeit in seinem Bereich:</w:t>
      </w:r>
    </w:p>
    <w:p>
      <w:pPr>
        <w:spacing w:before="0" w:after="160" w:line="276" w:lineRule="auto"/>
        <w:jc w:val="both"/>
      </w:pPr>
      <w:r>
        <w:rPr>
          <w:rFonts w:ascii="Times New Roman" w:hAnsi="Times New Roman"/>
          <w:color w:val="000000"/>
          <w:sz w:val="22"/>
        </w:rPr>
        <w:t>Die Unfehlbarkeit des Universalen Hauses der Gerechtigkeit, die innerhalb des ihm zugeordneten Bereiches gilt, ist nicht davon abhängig gemacht, daß der Hüter der Sache zu seinen Mitgliedern zählt. Während auf dem Gebiet der Auslegung die Äußerungen des Hüters immer bindend sind, ist es bei einer Teilnahme des Hüters an der Gesetzgebung stets die Entscheidung des Hauses selbst, die den Ausschlag geben muß. Dies wird durch die Worte des Hüters erhärtet: »Die Auslegung durch den Hüter ist innerhalb seines Bereiches ebenso autoritativ und bindend wie die Erlasse des Internationalen Hauses der Gerechtigkeit, dessen ausschließliches Recht und Vorrecht es ist, über solche Gesetze und Verordnungen zu befinden und letztgültig zu entscheiden, die Bahá’u’lláh nicht ausdrücklich offenbart hat.</w:t>
      </w:r>
    </w:p>
    <w:p>
      <w:pPr>
        <w:spacing w:before="0" w:after="160" w:line="276" w:lineRule="auto"/>
        <w:jc w:val="both"/>
      </w:pPr>
      <w:r>
        <w:rPr>
          <w:rFonts w:ascii="Times New Roman" w:hAnsi="Times New Roman"/>
          <w:color w:val="000000"/>
          <w:sz w:val="22"/>
        </w:rPr>
        <w:t>Keine von beiden Institutionen kann und wird je in das geweihte und festgelegte Gebiet der anderen übergreifen, keine von ihnen versuchen, die besondere und unbestrittene Amtsgewalt zu schmälern, mit der beide von Gott her ausgestattet wurden.</w:t>
      </w:r>
    </w:p>
    <w:p>
      <w:pPr>
        <w:spacing w:before="0" w:after="160" w:line="276" w:lineRule="auto"/>
        <w:jc w:val="both"/>
      </w:pPr>
      <w:r>
        <w:rPr>
          <w:rFonts w:ascii="Times New Roman" w:hAnsi="Times New Roman"/>
          <w:color w:val="000000"/>
          <w:sz w:val="22"/>
        </w:rPr>
        <w:t>Obwohl der Hüter des Glaubens zum ständigen Haupt einer so erhabenen Körperschaft gemacht worden ist, kann er doch nie, und wäre es nur vorübergehend, das Recht ausschließlicher Gesetzgebung beanspruchen. Er kann die Entscheidung der Mehrheit seiner Mitglieder nicht umstoßen, ist jedoch verpflichtet, bei jeder Gesetzesvorlage auf einer nochmaligen Behandlung durch sie zu bestehen, wenn sie nach seinem Gewissen dem Sinn der offenbarten Äußerungen Bahá’u’lláhs widerspricht und von deren Geiste abweicht.«</w:t>
      </w:r>
    </w:p>
    <w:p>
      <w:pPr>
        <w:spacing w:before="0" w:after="160" w:line="276" w:lineRule="auto"/>
        <w:jc w:val="both"/>
      </w:pPr>
      <w:r>
        <w:rPr>
          <w:rFonts w:ascii="Times New Roman" w:hAnsi="Times New Roman"/>
          <w:color w:val="000000"/>
          <w:sz w:val="22"/>
        </w:rPr>
        <w:t>»klar umgrenzt« bezeichnet hat. Drittens dürfen wir nicht die schriftliche Aussage des Hüters über diese zwei Institutionen vergessen: »Keine von beiden kann und wird je in den unantastbaren und festgelegten Bereich der anderen übergreifen.«</w:t>
      </w:r>
    </w:p>
    <w:p>
      <w:pPr>
        <w:spacing w:before="0" w:after="160" w:line="276" w:lineRule="auto"/>
        <w:jc w:val="both"/>
      </w:pPr>
      <w:r>
        <w:rPr>
          <w:rFonts w:ascii="Times New Roman" w:hAnsi="Times New Roman"/>
          <w:color w:val="000000"/>
          <w:sz w:val="22"/>
        </w:rPr>
        <w:t>Vom Universalen Haus der Gerechtigkeit erlassene Gesetze sind erleuchtet und geistig:</w:t>
      </w:r>
    </w:p>
    <w:p>
      <w:pPr>
        <w:spacing w:before="0" w:after="160" w:line="276" w:lineRule="auto"/>
        <w:jc w:val="both"/>
      </w:pPr>
      <w:r>
        <w:rPr>
          <w:rFonts w:ascii="Times New Roman" w:hAnsi="Times New Roman"/>
          <w:color w:val="000000"/>
          <w:sz w:val="22"/>
        </w:rPr>
        <w:t>Über die Notwendigkeit, aus den Schriften Schlußfolgerungen abzuleiten als Hilfestellung beim Abfassen der Gesetzesbestimmungen des Hauses der Gerechtigkeit, haben wir den folgenden Text aus der Feder `Abdu’l-Bahás:</w:t>
      </w:r>
    </w:p>
    <w:p>
      <w:pPr>
        <w:spacing w:before="0" w:after="160" w:line="276" w:lineRule="auto"/>
        <w:jc w:val="both"/>
      </w:pPr>
      <w:r>
        <w:rPr>
          <w:rFonts w:ascii="Times New Roman" w:hAnsi="Times New Roman"/>
          <w:color w:val="000000"/>
          <w:sz w:val="22"/>
        </w:rPr>
        <w:t>»Alles Wesentliche, das die Grundlage des göttlichen Gesetzes ausmacht, ist eindeutig im heiligen Text festgelegt, aber ergänzende Gesetze bleiben dem Haus der Gerechtigkeit</w:t>
      </w:r>
    </w:p>
    <w:p>
      <w:pPr>
        <w:spacing w:before="0" w:after="160" w:line="276" w:lineRule="auto"/>
        <w:jc w:val="both"/>
      </w:pPr>
      <w:r>
        <w:rPr>
          <w:rFonts w:ascii="Times New Roman" w:hAnsi="Times New Roman"/>
          <w:color w:val="000000"/>
          <w:sz w:val="22"/>
        </w:rPr>
        <w:t>überlassen. Die Weisheit dieser Anordnung liegt im Wandel der Zeiten; denn Veränderung ist eine notwendige Eigenschaft und ein wesentliches Merkmal dieser Welt von Zeit und Raum. Dementsprechend wird das Haus der Gerechtigkeit handeln.</w:t>
      </w:r>
    </w:p>
    <w:p>
      <w:pPr>
        <w:spacing w:before="0" w:after="160" w:line="276" w:lineRule="auto"/>
        <w:jc w:val="both"/>
      </w:pPr>
      <w:r>
        <w:rPr>
          <w:rFonts w:ascii="Times New Roman" w:hAnsi="Times New Roman"/>
          <w:color w:val="000000"/>
          <w:sz w:val="22"/>
        </w:rPr>
        <w:t>Man darf sich nicht vorstellen, daß das Haus der Gerechtigkeit irgendeine Entscheidung nach seiner eigenen Auffassung und Meinung trifft. Gott bewahre! Das höchste Haus der Gerechtigkeit wird durch die Erleuchtung und Bestätigung des Heiligen Geistes seine Entscheidungen treffen und Gesetze erlassen, denn es steht in der sicheren Obhut und unter dem Schutz und Schirm der Ewigen Schönheit, und Gehorsam gegenüber seinen Beschlüssen ist eine wesentliche Pflicht und Schuldigkeit und eine bindende Verpflichtung, aus der es für niemand eine Ausflucht gibt.</w:t>
      </w:r>
    </w:p>
    <w:p>
      <w:pPr>
        <w:spacing w:before="0" w:after="160" w:line="276" w:lineRule="auto"/>
        <w:jc w:val="both"/>
      </w:pPr>
      <w:r>
        <w:rPr>
          <w:rFonts w:ascii="Times New Roman" w:hAnsi="Times New Roman"/>
          <w:color w:val="000000"/>
          <w:sz w:val="22"/>
        </w:rPr>
        <w:t>Sprich, o Volk: Wahrlich, das Höchste Haus der Gerechtigkeit steht unter den Schwingen eures Herrn, des Mitleidvollen, des Allbarmherzigen, das heißt, unter Seinem Schutz, Seiner Fürsorge und Seinem Obdach; denn Er hat den standhaften Gläubigen befohlen, dieser gesegneten, geheiligten und alles meisternden Körperschaft zu gehorchen, deren göttlich verordnete Herrschaft dem Himmlischen Königreich entstammt und deren Gesetze erleuchtet und geistig sind.</w:t>
      </w:r>
    </w:p>
    <w:p>
      <w:pPr>
        <w:spacing w:before="0" w:after="160" w:line="276" w:lineRule="auto"/>
        <w:jc w:val="both"/>
      </w:pPr>
      <w:r>
        <w:rPr>
          <w:rFonts w:ascii="Times New Roman" w:hAnsi="Times New Roman"/>
          <w:color w:val="000000"/>
          <w:sz w:val="22"/>
        </w:rPr>
        <w:t>Darin liegt, kurz gesagt, die Weisheit, die Gesetze der Gesellschaft dem Haus der Gerechtigkeit zu übertragen. Auch im Islám war nicht jedes Gesetz ausdrücklich offenbart; nein, nicht der zehnte Teil eines Zehntels fand sich im Text; obwohl alles Wesentliche genau festgelegt war, gab es zweifellos Tausende von Gesetzen, deren Einzelheiten offen blieben. Diese wurden von den Theologen späterer Generationen nach den Grundsätzen der islámischen Rechtsprechung ausgearbeitet, und einzelne Theologen leiteten vom ursprünglich offenbarten Gesetz sich widersprechende Folgerungen ab. Dennoch erlangten sie alle Geltung. Heute ist dieses Ableitungsverfahren das Recht der Körperschaft des Hauses der Gerechtigkeit, und die Schlüsse und Folgerungen einzelner Gelehrter erlangen nur dann Gesetzeskraft, wenn das Haus der Gerechtigkeit ihnen zustimmt. Der klare Unterschied ist, daß aus der Entscheidung durch die Körperschaft des Hauses der Gerechtigkeit, dessen Mitglieder von der weltweiten Bahá’í-Gemeinde gewählt und ihr bekannt sind, keine Konflikte entstehen werden; die Entscheidungen einzelner Theologen und Gelehrter führen dagegen unweigerlich zu Konflikten und enden in Schismen, Spaltung und Zersplitterung. Die Einheit der Welt würde zerstört, die Einheit des Glaubens verschwände, und das Gebäude des Glaubens Gottes würde erschüttert.«</w:t>
      </w:r>
    </w:p>
    <w:p>
      <w:pPr>
        <w:spacing w:before="0" w:after="160" w:line="276" w:lineRule="auto"/>
        <w:jc w:val="both"/>
      </w:pPr>
      <w:r>
        <w:rPr>
          <w:rFonts w:ascii="Times New Roman" w:hAnsi="Times New Roman"/>
          <w:color w:val="000000"/>
          <w:sz w:val="22"/>
        </w:rPr>
        <w:t>Es sichert den Fortbestand der Amtsgewalt, die aus der Quelle unseres Glaubens fließt:</w:t>
      </w:r>
    </w:p>
    <w:p>
      <w:pPr>
        <w:spacing w:before="0" w:after="160" w:line="276" w:lineRule="auto"/>
        <w:jc w:val="both"/>
      </w:pPr>
      <w:r>
        <w:rPr>
          <w:rFonts w:ascii="Times New Roman" w:hAnsi="Times New Roman"/>
          <w:color w:val="000000"/>
          <w:sz w:val="22"/>
        </w:rPr>
        <w:t>In der Ordnung Bahá’u’lláhs gibt es Aufgaben, die bestimmten Institutionen vorbehalten bleiben, und andere, die gemeinsam sind, auch wenn sie mehr im Aufgabenbereich der einen oder anderen Institution liegen. So haben zum Beispiel die Hände der Sache die besondere Aufgabe des Schutzes und der Verbreitung als ihren ureigensten Aufgabenbereich, aber gleichwohl ist es auch die Pflicht des Universalen Hauses der Gerechtigkeit und der Geistigen Räte, die Sache zu schützen und zu lehren - ja, das Lehren ist eine heilige Verpflichtung, die Bahá’u’lláh jedem Gläubigen auferlegt hat. Genauso gilt: Obwohl das Recht der Auslegung nach dem Meister ausschließlich dem Hüter verliehen wurde und obwohl die Gesetzgebung ausschließlich dem Universalen Haus der Gerechtigkeit übertragen ist, »ergänzen sich« nach Shoghi Effendis Worten diese beiden Institutionen »in ihrem Zweck und Ziel«. »Ihr gemeinsames, grundlegendes Ziel ist, den Fortbestand jener göttlich verordneten Amtsgewalt zu sichern, die aus der Quelle unseres Glaubens fließt, die Einheit seiner Anhänger zu wahren</w:t>
      </w:r>
    </w:p>
    <w:p>
      <w:pPr>
        <w:spacing w:before="0" w:after="160" w:line="276" w:lineRule="auto"/>
        <w:jc w:val="both"/>
      </w:pPr>
      <w:r>
        <w:rPr>
          <w:rFonts w:ascii="Times New Roman" w:hAnsi="Times New Roman"/>
          <w:color w:val="000000"/>
          <w:sz w:val="22"/>
        </w:rPr>
        <w:t>»Hüter« zu finden.</w:t>
      </w:r>
    </w:p>
    <w:p>
      <w:pPr>
        <w:spacing w:before="0" w:after="160" w:line="276" w:lineRule="auto"/>
        <w:jc w:val="both"/>
      </w:pPr>
      <w:r>
        <w:rPr>
          <w:rFonts w:ascii="Times New Roman" w:hAnsi="Times New Roman"/>
          <w:color w:val="000000"/>
          <w:sz w:val="22"/>
        </w:rPr>
        <w:t>Dies ist Gottes Sache - ihr Licht wird uns führen:</w:t>
      </w:r>
    </w:p>
    <w:p>
      <w:pPr>
        <w:spacing w:before="0" w:after="160" w:line="276" w:lineRule="auto"/>
        <w:jc w:val="both"/>
      </w:pPr>
      <w:r>
        <w:rPr>
          <w:rFonts w:ascii="Times New Roman" w:hAnsi="Times New Roman"/>
          <w:color w:val="000000"/>
          <w:sz w:val="22"/>
        </w:rPr>
        <w:t>Der Dienst an der Sache Gottes erfordert unbedingte Treue und Lauterkeit und unerschütterlichen Glauben an Ihn. Nichts Gutes, sondern nur Böses kann entstehen, wenn wir die Verantwortung für die Zukunft der Sache Gottes selbst in die Hand nehmen und versuchen, sie auf Wege zu drängen, wo wir sie haben wollen, ohne die klaren Texte und unsere eigenen Beschränkungen zu beachten. Es ist Seine Sache. Er hat versprochen, daß ihr Licht nicht versiegen wird. Unsere Aufgabe ist, mit aller Zähigkeit am offenbarten Wort und an den Institutionen, die Er zur Erhaltung Seines Bündnisses geschaffen hat, festzuhalten.</w:t>
      </w:r>
    </w:p>
    <w:p>
      <w:pPr>
        <w:spacing w:before="0" w:after="160" w:line="276" w:lineRule="auto"/>
        <w:jc w:val="both"/>
      </w:pPr>
      <w:r>
        <w:rPr>
          <w:rFonts w:ascii="Times New Roman" w:hAnsi="Times New Roman"/>
          <w:color w:val="000000"/>
          <w:sz w:val="22"/>
        </w:rPr>
        <w:t>Gerade hierbei müssen die Gläubigen erkennen, wie entscheidend wichtig geistige Redlichkeit und Demut sind. In früheren Sendungen sind viele Irrtümer entstanden, weil die Gläubigen, die Gottes Offenbarung angenommen hatten, allzusehr darauf bedacht waren, die göttliche Botschaft mit dem Maßstab ihres begrenzten Verständnisses zu messen; Lehrsätze festzulegen, wo Festlegungen außerhalb ihrer Macht standen; Geheimnisse zu deuten, die nur die Weisheit und Erfahrung eines späteren Zeitalters verständlich machen konnte; zu behaupten, daß etwas wahr sei, weil es wünschenswert und notwendig schien. Solche Kompromisse mit der ewigen Wahrheit, solchen intellektuellen Stolz müssen wir strengstens meiden.</w:t>
      </w:r>
    </w:p>
    <w:p>
      <w:pPr>
        <w:spacing w:before="0" w:after="160" w:line="276" w:lineRule="auto"/>
        <w:jc w:val="both"/>
      </w:pPr>
      <w:r>
        <w:rPr>
          <w:rFonts w:ascii="Times New Roman" w:hAnsi="Times New Roman"/>
          <w:color w:val="000000"/>
          <w:sz w:val="22"/>
        </w:rPr>
        <w:t>Wenn einige Verlautbarungen des Universalen Hauses der Gerechtigkeit nicht sehr ausführlich sind, sollten die Freunde einsehen, daß dahinter keine Geheimnistuerei steckt, sondern die Entschlossenheit dieser Körperschaft, sich jeder Auslegung der Lehren zu enthalten und die Richtigkeit der Aussage des Hüters zu bewahren: »Religionsführer, Vertreter politischer Theorien, Leiter menschlicher Institutionen ... brauchen über die Natur, den Ursprung oder die Gültigkeit der Institutionen, die die Anhänger des Glaubens in der ganzen Welt aufbauen, keinerlei Zweifel oder Befürchtungen zu haben; denn diese Institutionen sind in den Lehren selbst tief verankert, unverfälscht und ungetrübt durch unbefugte Eingriffe oder unerlaubte Auslegungen Seines Wortes.«</w:t>
      </w:r>
    </w:p>
    <w:p>
      <w:pPr>
        <w:spacing w:before="0" w:after="160" w:line="276" w:lineRule="auto"/>
        <w:jc w:val="both"/>
      </w:pPr>
      <w:r>
        <w:rPr>
          <w:rFonts w:ascii="Times New Roman" w:hAnsi="Times New Roman"/>
          <w:color w:val="000000"/>
          <w:sz w:val="22"/>
        </w:rPr>
        <w:t>Unterscheidung zwischen der bevollmächtigten Auslegung der Schriften und dem Verständnis des einzelnen:</w:t>
      </w:r>
    </w:p>
    <w:p>
      <w:pPr>
        <w:spacing w:before="0" w:after="160" w:line="276" w:lineRule="auto"/>
        <w:jc w:val="both"/>
      </w:pPr>
      <w:r>
        <w:rPr>
          <w:rFonts w:ascii="Times New Roman" w:hAnsi="Times New Roman"/>
          <w:color w:val="000000"/>
          <w:sz w:val="22"/>
        </w:rPr>
        <w:t>In unserem Glauben wird eine klare Unterscheidung gemacht zwischen der bevollmächtigten Auslegung und dem Verständnis, zu dem der einzelne durch das Studium der Lehren selbst gelangt. Die erstere ist dem Hüter vorbehalten; doch soll das zweite, wie uns der Hüter selbst sagt, auf keinen Fall unterdrückt werden. Eine individuelle Auslegung gilt nämlich als Frucht der menschlichen Verstandeskraft und als förderlich für ein besseres Verständnis der Lehren - vorausgesetzt, daß keine Streitigkeiten oder Auseinandersetzungen unter den Freunden entstehen und der einzelne selbst weiß und auch zum Ausdruck bringt, daß das, was er sagt, seine eigenen Ansichten sind. Individuelle Auslegungen ändern sich ständig, je mehr das Verständnis der Lehren zunimmt. Hierzu schrieb Shoghi Effendi: »Sich in der Sache zu vertiefen heißt, die Schriften Bahá’u’lláhs und des Meisters so gründlich zu lesen, daß man in der Lage ist, sie in reiner Form anderen weiterzugeben. Es gibt viele, die eine oberflächliche Vorstellung von dem haben, was die Sache eigentlich vertritt. Sie stellen sie deshalb in Verbindung mit ihrem eigenen Gedankengut dar. Da die Sache Gottes noch in ihrem Anfangsstadium ist, müssen wir sorgfältig darauf achten, daß wir nicht diesem Irrtum verfallen und der Bewegung, die wir so sehr verehren, schaden. Dem Studium der Sache ist keine Grenze gesetzt. Je mehr wir die Schriften lesen, desto mehr Wahrheiten können wir in ihnen finden und desto mehr werden wir feststellen, daß unsere früheren Begriffe falsch waren.« Individuelle Einsichten können also erleuchtend und hilfreich sein; sie können aber auch in die Irre führen. Deshalb müssen die Freunde lernen, den Ansichten anderer zuzuhören, ohne sich allzutief beeindrucken oder gar in ihrem Glauben beirren zu lassen; ebenso müssen sie lernen, ihrer eigenen Meinung Ausdruck zu geben, ohne sie ihren Mit- Bahá’í aufzwingen zu wollen.</w:t>
      </w:r>
    </w:p>
    <w:p>
      <w:pPr>
        <w:spacing w:before="0" w:after="160" w:line="276" w:lineRule="auto"/>
        <w:jc w:val="both"/>
      </w:pPr>
      <w:r>
        <w:rPr>
          <w:rFonts w:ascii="Times New Roman" w:hAnsi="Times New Roman"/>
          <w:color w:val="000000"/>
          <w:sz w:val="22"/>
        </w:rPr>
        <w:t>Die Sache Gottes ist organisch; sie wächst und entwickelt sich wie ein lebendes Wesen. Immer wieder hat sie Krisen erlebt, die die Gläubigen verwirrt haben; aber jedes Mal hat die Sache - angetrieben durch Gottes unwandelbaren Ratschluß - diese Krise überwunden und eine höhere Stufe erreicht.</w:t>
      </w:r>
    </w:p>
    <w:p>
      <w:pPr>
        <w:spacing w:before="0" w:after="160" w:line="276" w:lineRule="auto"/>
        <w:jc w:val="both"/>
      </w:pPr>
      <w:r>
        <w:rPr>
          <w:rFonts w:ascii="Times New Roman" w:hAnsi="Times New Roman"/>
          <w:color w:val="000000"/>
          <w:sz w:val="22"/>
        </w:rPr>
        <w:t>Jeder muß sich dem Heiligsten Buche zuwenden:</w:t>
      </w:r>
    </w:p>
    <w:p>
      <w:pPr>
        <w:spacing w:before="0" w:after="160" w:line="276" w:lineRule="auto"/>
        <w:jc w:val="both"/>
      </w:pPr>
      <w:r>
        <w:rPr>
          <w:rFonts w:ascii="Times New Roman" w:hAnsi="Times New Roman"/>
          <w:color w:val="000000"/>
          <w:sz w:val="22"/>
        </w:rPr>
        <w:t>»Huqúqu’lláh« entgegennehmen und seiner Verwendung zuführen, in Übereinstimmung mit der folgenden Äußerung Abdu’l-Bahás: »Verfügungen über das Huqúq, ganz oder teilweise, sind gestattet, sollten aber mit Erlaubnis der zuständigen Institution der Sache geschehen, der sich alle zuwenden müssen.« Es muß in seiner Satzung Vorkehrungen für die Entfernung eines seiner Mitglieder treffen, das eine Sünde begeht, die »das Allgemeinwohl schädigt«.</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Hütertum und Universales Haus der Gerechtigkeit (An einen Gläubigen)</dc:title>
  <dc:subject>Bahá'í Guidance (27. Mai 1966)</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