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160" w:line="276" w:lineRule="auto"/>
        <w:jc w:val="both"/>
      </w:pPr>
      <w:r>
        <w:rPr>
          <w:rFonts w:ascii="Times New Roman" w:hAnsi="Times New Roman"/>
          <w:color w:val="000000"/>
          <w:sz w:val="22"/>
        </w:rPr>
        <w:t>f.tp:2Systematische Darstellung des Ḥuqúqu’lláh-GesetzesAuszug aus einer Botschaft des Universalen Hauses der Gerechtigkeit vom 25.3.1987A</w:t>
      </w:r>
    </w:p>
    <w:p>
      <w:pPr>
        <w:spacing w:before="0" w:after="160" w:line="276" w:lineRule="auto"/>
        <w:jc w:val="both"/>
      </w:pPr>
      <w:r>
        <w:rPr>
          <w:rFonts w:ascii="Times New Roman" w:hAnsi="Times New Roman"/>
          <w:color w:val="000000"/>
          <w:sz w:val="22"/>
        </w:rPr>
        <w:t>f.tp:3</w:t>
      </w:r>
    </w:p>
    <w:p>
      <w:pPr>
        <w:spacing w:before="0" w:after="160" w:line="276" w:lineRule="auto"/>
        <w:jc w:val="both"/>
      </w:pPr>
      <w:r>
        <w:rPr>
          <w:rFonts w:ascii="Times New Roman" w:hAnsi="Times New Roman"/>
          <w:color w:val="000000"/>
          <w:sz w:val="22"/>
        </w:rPr>
        <w:t>:1Das Ḥuqúqu’lláh, »das Recht Gottes« ist ein bedeutendes Gesetz (13)Die in Klammern gesetzten Zahlen beziehen sich auf die Zitatnummern der vom Universalen Haus der Gerechtigkeit herausgegebenen Textzusammenstellung Ḥuqúqu’lláh. Das Recht Gottes, eine Kompilation von 2007.A und eine heilige Institution. Im Heiligsten Buch (Kitáb-i-Aqdas) niedergelegt, ist es ein Stützpfeiler der Weltordnung Bahá’u’lláhs. Es wirkt sich weithin aus, von der gesteigerten Wohlfahrt des einzelnen Menschen bis hin zur gefestigten Amtsgewalt und erweiterten Tätigkeit des Oberhaupts unseres Glaubens. Mit der Erschließung einer plan- und regelmäßig sprudelnden Einnahmequelle für die Zentralinstitution der Sache Gottes sichert Bahá’u’lláh dem Weltzentrum Seines Glaubens die Mittel für eine unabhängige, entschiedene Amtsausübung.</w:t>
      </w:r>
    </w:p>
    <w:p>
      <w:pPr>
        <w:spacing w:before="0" w:after="160" w:line="276" w:lineRule="auto"/>
        <w:jc w:val="both"/>
      </w:pPr>
      <w:r>
        <w:rPr>
          <w:rFonts w:ascii="Times New Roman" w:hAnsi="Times New Roman"/>
          <w:color w:val="000000"/>
          <w:sz w:val="22"/>
        </w:rPr>
        <w:t>:2Bahá’u’lláh weist dieses Gesetz als »das Recht Gottes« aus und betont damit erneut, dass die Beziehung zwischen den Menschen und ihrem Schöpfer im Wesentlichen ein auf gegenseitige Versprechen und Verpflichtungen gegründeter Bund ist. Indem Er innerhalb der Sache Gottes die zentrale Autorität, der sich alle zuwenden müssen, zum Empfänger dieses Rechtes bestimmt, schafft Er eine unmittelbare, notwendige, im Gefüge Seiner Weltordnung einzigartige Verbindung zwischen jedem einzelnen Gläubigen und dem Oberhaupt seines Glaubens. Den Freunden verhilft dieses Gesetz zur Erkenntnis, wie ihre wirtschaftliche Tätigkeit auf die Stufe göttlicher Annehmbarkeit emporgehoben wird. So ist es ein Mittel zur Läuterung ihres Wohlstands, ein Magnet für Gottes Segen. Innerhalb der allgemeinen Leitlinien ist es eine reine Gewissenssache zwischen dem einzelnen und Gott (56, 82), wie das Ḥuqúqu’lláh berechnet und entrichtet wird. Jedes Nachsuchen oder Einfordern des Ḥuqúqu’lláh ist verboten (56, 82, 83, 93, 106) – nur Aufrufe, Erinnerungen und Ermunterungen allgemeiner Art sind unter der Aufsicht der Institutionen des Glaubens erlaubt (94, 96, 97, 100). Dass die Einhaltung und Durchführung dieses für das materielle Wohlergehen der sich entwickelnden Bahá’í-Gemeinschaft (29) so entscheidenden Gesetzes auf diese Weise vollständig dem Glauben und Gewissen des einzelnen überlassen wird, erhärtet und beleuchtet das, was der geliebte Meister als die geistige Lösung wirtschaftlicher Probleme bezeichnete. So wirkt sich das Ḥuqúqu’lláh-Gesetz auf die Umsetzung einer ganzen Reihe von Glaubensgrundsätzen aus – etwa die Beseitigung übermäßigen Reichtums und nackter Not oder die gerechtere Verteilung der Hilfsquellen – in dem Maße, wie die Freunde sich zunehmend für die Befolgung dieses Gesetzes verantwortlich fühlen.</w:t>
      </w:r>
    </w:p>
    <w:p>
      <w:pPr>
        <w:spacing w:before="0" w:after="160" w:line="276" w:lineRule="auto"/>
        <w:jc w:val="both"/>
      </w:pPr>
      <w:r>
        <w:rPr>
          <w:rFonts w:ascii="Times New Roman" w:hAnsi="Times New Roman"/>
          <w:color w:val="000000"/>
          <w:sz w:val="22"/>
        </w:rPr>
        <w:t>:3Die Grundlagen des Ḥuqúqu’lláh-Gesetzes sind im Kitáb-i-Aqdas verkündet. Weitere eingehende Darstellungen seiner Merkmale sind in anderen Schriften Bahá’u’lláhs, in Sendschreiben ‘Abdu’l-Bahás sowie in Briefen Shoghi Effendis zu finden, größtenteils als Antworten auf Fragen der Freunde. Die wichtigsten Aussagen wurden von der Forschungsabteilung gesondert veröffentlicht. Das Studium dieser Zusammenstellung macht deutlich, dass das Ḥuqúqu’lláh-Gesetz in fortschreitendem Umfang angewandt wurde; das wird auch künftig so sein in dem Maße, wie seine Auswirkungen und ergänzenden Bestimmungen erläutert werden.</w:t>
      </w:r>
    </w:p>
    <w:p>
      <w:pPr>
        <w:spacing w:before="0" w:after="160" w:line="276" w:lineRule="auto"/>
        <w:jc w:val="both"/>
      </w:pPr>
      <w:r>
        <w:rPr>
          <w:rFonts w:ascii="Times New Roman" w:hAnsi="Times New Roman"/>
          <w:color w:val="000000"/>
          <w:sz w:val="22"/>
        </w:rPr>
        <w:t>:1Obwohl Gott von allem Erschaffenen völlig unabhängig ist, hat Er uns in Seiner Gnadenfülle dieses Gesetz gegeben (3, 13, 22), da der Fortschritt und die Förderung der Sache Gottes von materiellen Mitteln abhängen (4, 29). Der Gehorsam gegenüber diesem Gesetz befähigt den Gläubigen, fest und standhaft im Bunde zu sein (22), hält eine Belohnung in jeder der Welten Gottes bereit (13) und ist eine einzigartige Prüfung des wahren Glaubens (24).</w:t>
      </w:r>
    </w:p>
    <w:p>
      <w:pPr>
        <w:spacing w:before="0" w:after="160" w:line="276" w:lineRule="auto"/>
        <w:jc w:val="both"/>
      </w:pPr>
      <w:r>
        <w:rPr>
          <w:rFonts w:ascii="Times New Roman" w:hAnsi="Times New Roman"/>
          <w:color w:val="000000"/>
          <w:sz w:val="22"/>
        </w:rPr>
        <w:t>:2Das Ḥuqúqu’lláh muss freudig und ohne Zögern dargebracht werden (6, 8, 83). Wird das Ḥuqúqu’lláh in diesem Geist dargeboten, verleiht dies den Freunden Wohlstand und Schutz, läutert ihren irdischen Besitz (2, 9, 17, 31, 54, 88) und befähigt sie samt ihren Nachkommen, aus den Früchten eigener Bemühungen Nutzen zu ziehen (17).</w:t>
      </w:r>
    </w:p>
    <w:p>
      <w:pPr>
        <w:spacing w:before="0" w:after="160" w:line="276" w:lineRule="auto"/>
        <w:jc w:val="both"/>
      </w:pPr>
      <w:r>
        <w:rPr>
          <w:rFonts w:ascii="Times New Roman" w:hAnsi="Times New Roman"/>
          <w:color w:val="000000"/>
          <w:sz w:val="22"/>
        </w:rPr>
        <w:t>:1Das gesamte Vermögen eines Gläubigen unterliegt mit Ausnahme bestimmter Gegenstände ein einziges Mal der Ḥuqúqu’lláh-Zahlung.</w:t>
      </w:r>
    </w:p>
    <w:p>
      <w:pPr>
        <w:spacing w:before="0" w:after="160" w:line="276" w:lineRule="auto"/>
        <w:jc w:val="both"/>
      </w:pPr>
      <w:r>
        <w:rPr>
          <w:rFonts w:ascii="Times New Roman" w:hAnsi="Times New Roman"/>
          <w:color w:val="000000"/>
          <w:sz w:val="22"/>
        </w:rPr>
        <w:t>:2A. Von der Ḥuqúqu’lláh-Veranlagung sind befreit:</w:t>
      </w:r>
    </w:p>
    <w:p>
      <w:pPr>
        <w:spacing w:before="0" w:after="160" w:line="276" w:lineRule="auto"/>
        <w:jc w:val="both"/>
      </w:pPr>
      <w:r>
        <w:rPr>
          <w:rFonts w:ascii="Times New Roman" w:hAnsi="Times New Roman"/>
          <w:color w:val="000000"/>
          <w:sz w:val="22"/>
        </w:rPr>
        <w:t>:31. die Wohnung und deren notwendigeSiehe III.C.5.A Einrichtungen (36)</w:t>
      </w:r>
    </w:p>
    <w:p>
      <w:pPr>
        <w:spacing w:before="0" w:after="160" w:line="276" w:lineRule="auto"/>
        <w:jc w:val="both"/>
      </w:pPr>
      <w:r>
        <w:rPr>
          <w:rFonts w:ascii="Times New Roman" w:hAnsi="Times New Roman"/>
          <w:color w:val="000000"/>
          <w:sz w:val="22"/>
        </w:rPr>
        <w:t>:42. die gewerbliche und landwirtschaftliche Betriebsausstattung, die zur Erwirtschaftung des Lebensunterhalts notwendig ist (42, 46, 47)</w:t>
      </w:r>
    </w:p>
    <w:p>
      <w:pPr>
        <w:spacing w:before="0" w:after="160" w:line="276" w:lineRule="auto"/>
        <w:jc w:val="both"/>
      </w:pPr>
      <w:r>
        <w:rPr>
          <w:rFonts w:ascii="Times New Roman" w:hAnsi="Times New Roman"/>
          <w:color w:val="000000"/>
          <w:sz w:val="22"/>
        </w:rPr>
        <w:t>:5B. Fälligkeit der Zahlung:</w:t>
      </w:r>
    </w:p>
    <w:p>
      <w:pPr>
        <w:spacing w:before="0" w:after="160" w:line="276" w:lineRule="auto"/>
        <w:jc w:val="both"/>
      </w:pPr>
      <w:r>
        <w:rPr>
          <w:rFonts w:ascii="Times New Roman" w:hAnsi="Times New Roman"/>
          <w:color w:val="000000"/>
          <w:sz w:val="22"/>
        </w:rPr>
        <w:t>:61. Das Ḥuqúqu’lláh ist zu zahlen, sobald das abgabepflichtige Vermögen einer Person den Gegenwert von 19 Mithqál Gold erreicht oder übersteigt (43). [(19 Mithqál Gold entsprechen ungefähr 2,2 Troyunzen oder ungefähr 69,2 Gramm (52).]</w:t>
      </w:r>
    </w:p>
    <w:p>
      <w:pPr>
        <w:spacing w:before="0" w:after="160" w:line="276" w:lineRule="auto"/>
        <w:jc w:val="both"/>
      </w:pPr>
      <w:r>
        <w:rPr>
          <w:rFonts w:ascii="Times New Roman" w:hAnsi="Times New Roman"/>
          <w:color w:val="000000"/>
          <w:sz w:val="22"/>
        </w:rPr>
        <w:t>:7a) Die zu entrichtende Summe beträgt 19% des Wertes des abgabepflichtigen Vermögens (3, 34).</w:t>
      </w:r>
    </w:p>
    <w:p>
      <w:pPr>
        <w:spacing w:before="0" w:after="160" w:line="276" w:lineRule="auto"/>
        <w:jc w:val="both"/>
      </w:pPr>
      <w:r>
        <w:rPr>
          <w:rFonts w:ascii="Times New Roman" w:hAnsi="Times New Roman"/>
          <w:color w:val="000000"/>
          <w:sz w:val="22"/>
        </w:rPr>
        <w:t>:8b) Die Zahlung wird für ganze Einheiten von 19 Mithqál Gold fällig (41).</w:t>
      </w:r>
    </w:p>
    <w:p>
      <w:pPr>
        <w:spacing w:before="0" w:after="160" w:line="276" w:lineRule="auto"/>
        <w:jc w:val="both"/>
      </w:pPr>
      <w:r>
        <w:rPr>
          <w:rFonts w:ascii="Times New Roman" w:hAnsi="Times New Roman"/>
          <w:color w:val="000000"/>
          <w:sz w:val="22"/>
        </w:rPr>
        <w:t>:92. Das Ḥuqúqu’lláh ist für weitere Einheiten von 19 Mithqál Gold fällig, wenn das in der Folge erworbene Eigentum nach Abzug der jährlichen Ausgaben den Wert des abgabepflichtigen Vermögens entsprechend erhöht. Zu den abzuziehende Ausgaben gehören:</w:t>
      </w:r>
    </w:p>
    <w:p>
      <w:pPr>
        <w:spacing w:before="0" w:after="160" w:line="276" w:lineRule="auto"/>
        <w:jc w:val="both"/>
      </w:pPr>
      <w:r>
        <w:rPr>
          <w:rFonts w:ascii="Times New Roman" w:hAnsi="Times New Roman"/>
          <w:color w:val="000000"/>
          <w:sz w:val="22"/>
        </w:rPr>
        <w:t>:10a) die allgemeinen Lebenshaltungskosten (45, 48, 49)</w:t>
      </w:r>
    </w:p>
    <w:p>
      <w:pPr>
        <w:spacing w:before="0" w:after="160" w:line="276" w:lineRule="auto"/>
        <w:jc w:val="both"/>
      </w:pPr>
      <w:r>
        <w:rPr>
          <w:rFonts w:ascii="Times New Roman" w:hAnsi="Times New Roman"/>
          <w:color w:val="000000"/>
          <w:sz w:val="22"/>
        </w:rPr>
        <w:t>:11b) Verluste und Kosten, die beim Verkauf von Besitztümern entstehen (55, 78)</w:t>
      </w:r>
    </w:p>
    <w:p>
      <w:pPr>
        <w:spacing w:before="0" w:after="160" w:line="276" w:lineRule="auto"/>
        <w:jc w:val="both"/>
      </w:pPr>
      <w:r>
        <w:rPr>
          <w:rFonts w:ascii="Times New Roman" w:hAnsi="Times New Roman"/>
          <w:color w:val="000000"/>
          <w:sz w:val="22"/>
        </w:rPr>
        <w:t>:12c) an die öffentliche Hand bezahlte Steuern und Abgaben (49)</w:t>
      </w:r>
    </w:p>
    <w:p>
      <w:pPr>
        <w:spacing w:before="0" w:after="160" w:line="276" w:lineRule="auto"/>
        <w:jc w:val="both"/>
      </w:pPr>
      <w:r>
        <w:rPr>
          <w:rFonts w:ascii="Times New Roman" w:hAnsi="Times New Roman"/>
          <w:color w:val="000000"/>
          <w:sz w:val="22"/>
        </w:rPr>
        <w:t>:133. Wer ein Geschenk erhält oder eine Erbschaft antritt, hat dieses seinem Vermögen hinzuzurechnen und dessen Gesamtwert ebenso zu vermehren, wie wenn sein Jahreseinkommen die Ausgaben überstiege (60, 74).</w:t>
      </w:r>
    </w:p>
    <w:p>
      <w:pPr>
        <w:spacing w:before="0" w:after="160" w:line="276" w:lineRule="auto"/>
        <w:jc w:val="both"/>
      </w:pPr>
      <w:r>
        <w:rPr>
          <w:rFonts w:ascii="Times New Roman" w:hAnsi="Times New Roman"/>
          <w:color w:val="000000"/>
          <w:sz w:val="22"/>
        </w:rPr>
        <w:t>:144. Steigt ein Gut im Wert, so ist das Ḥuqúqu’lláh auf den Zuwachs erst bei Realisierung, z. B. bei Verkauf, fällig (68).</w:t>
      </w:r>
    </w:p>
    <w:p>
      <w:pPr>
        <w:spacing w:before="0" w:after="160" w:line="276" w:lineRule="auto"/>
        <w:jc w:val="both"/>
      </w:pPr>
      <w:r>
        <w:rPr>
          <w:rFonts w:ascii="Times New Roman" w:hAnsi="Times New Roman"/>
          <w:color w:val="000000"/>
          <w:sz w:val="22"/>
        </w:rPr>
        <w:t>:155. Verliert ein Vermögen an Wert, wenn etwa die jährlichen Ausgaben die Einnahmen übersteigen, so wird das Ḥuqúqu’lláh erst wieder fällig, nachdem der Verlust ausgeglichen wurde und der Gesamtwert des abgabepflichtigen Vermögens zunahm (38, 39, 42, 44, 46–48, 50, 61, 73).</w:t>
      </w:r>
    </w:p>
    <w:p>
      <w:pPr>
        <w:spacing w:before="0" w:after="160" w:line="276" w:lineRule="auto"/>
        <w:jc w:val="both"/>
      </w:pPr>
      <w:r>
        <w:rPr>
          <w:rFonts w:ascii="Times New Roman" w:hAnsi="Times New Roman"/>
          <w:color w:val="000000"/>
          <w:sz w:val="22"/>
        </w:rPr>
        <w:t>:166. Die Tilgung von Schulden genießt Vorrang vor der Zahlung des Ḥuqúqu’lláh (36, 69, 72).</w:t>
      </w:r>
    </w:p>
    <w:p>
      <w:pPr>
        <w:spacing w:before="0" w:after="160" w:line="276" w:lineRule="auto"/>
        <w:jc w:val="both"/>
      </w:pPr>
      <w:r>
        <w:rPr>
          <w:rFonts w:ascii="Times New Roman" w:hAnsi="Times New Roman"/>
          <w:color w:val="000000"/>
          <w:sz w:val="22"/>
        </w:rPr>
        <w:t>:177. Die Zahlung des Ḥuqúqu’lláh hängt davon ab, ob es dem Betreffenden finanziell möglich ist, seiner Verpflichtung nachzukommen (34).</w:t>
      </w:r>
    </w:p>
    <w:p>
      <w:pPr>
        <w:spacing w:before="0" w:after="160" w:line="276" w:lineRule="auto"/>
        <w:jc w:val="both"/>
      </w:pPr>
      <w:r>
        <w:rPr>
          <w:rFonts w:ascii="Times New Roman" w:hAnsi="Times New Roman"/>
          <w:color w:val="000000"/>
          <w:sz w:val="22"/>
        </w:rPr>
        <w:t>:188. Stirbt ein Gläubiger, wird seine restliche Zahlungsverpflichtung gegenüber dem Ḥuqúqu’lláh auf folgende Weise erfüllt:</w:t>
      </w:r>
    </w:p>
    <w:p>
      <w:pPr>
        <w:spacing w:before="0" w:after="160" w:line="276" w:lineRule="auto"/>
        <w:jc w:val="both"/>
      </w:pPr>
      <w:r>
        <w:rPr>
          <w:rFonts w:ascii="Times New Roman" w:hAnsi="Times New Roman"/>
          <w:color w:val="000000"/>
          <w:sz w:val="22"/>
        </w:rPr>
        <w:t>:19a) Vorrang gegenüber dem Nachlass haben die Beerdigungskosten (36).</w:t>
      </w:r>
    </w:p>
    <w:p>
      <w:pPr>
        <w:spacing w:before="0" w:after="160" w:line="276" w:lineRule="auto"/>
        <w:jc w:val="both"/>
      </w:pPr>
      <w:r>
        <w:rPr>
          <w:rFonts w:ascii="Times New Roman" w:hAnsi="Times New Roman"/>
          <w:color w:val="000000"/>
          <w:sz w:val="22"/>
        </w:rPr>
        <w:t>:20b) Als zweites sind die Schulden des Verstorbenen zu bezahlen (41).</w:t>
      </w:r>
    </w:p>
    <w:p>
      <w:pPr>
        <w:spacing w:before="0" w:after="160" w:line="276" w:lineRule="auto"/>
        <w:jc w:val="both"/>
      </w:pPr>
      <w:r>
        <w:rPr>
          <w:rFonts w:ascii="Times New Roman" w:hAnsi="Times New Roman"/>
          <w:color w:val="000000"/>
          <w:sz w:val="22"/>
        </w:rPr>
        <w:t>:21c) Danach sollte das für das Vermögen noch fällige Ḥuqúqu’lláh bezahlt werden. Zur Feststellung des Vermögenswertes, für den noch kein Ḥuqúqu’lláh bezahlt worden ist, sind u.a. vom Vermögen abzuziehen: Beerdigungskosten (36), Schulden des Verstorbenen (41), Wertverluste bei der Veräußerung der Erbmasse (56) und bei der Veräußerung der Erbmasse entstandene Kosten (56). Der Hauptwohnsitz und Gegenstände wie dessen notwendige Einrichtung und die Berufsausrüstung bleiben ausgenommen (80).</w:t>
      </w:r>
    </w:p>
    <w:p>
      <w:pPr>
        <w:spacing w:before="0" w:after="160" w:line="276" w:lineRule="auto"/>
        <w:jc w:val="both"/>
      </w:pPr>
      <w:r>
        <w:rPr>
          <w:rFonts w:ascii="Times New Roman" w:hAnsi="Times New Roman"/>
          <w:color w:val="000000"/>
          <w:sz w:val="22"/>
        </w:rPr>
        <w:t>:22C. Weitere Anmerkungen zur Ermittlung des Ḥuqúqu’lláh:</w:t>
      </w:r>
    </w:p>
    <w:p>
      <w:pPr>
        <w:spacing w:before="0" w:after="160" w:line="276" w:lineRule="auto"/>
        <w:jc w:val="both"/>
      </w:pPr>
      <w:r>
        <w:rPr>
          <w:rFonts w:ascii="Times New Roman" w:hAnsi="Times New Roman"/>
          <w:color w:val="000000"/>
          <w:sz w:val="22"/>
        </w:rPr>
        <w:t>:231. Jeder Gläubige sollte im Verlauf seines Lebens nicht nur lernen, wie er das Ḥuqúqu’lláh berechnet, sondern auch, wie für den bei seinem Tod verbleibenden Rest vorzusorgen ist (65, 68).</w:t>
      </w:r>
    </w:p>
    <w:p>
      <w:pPr>
        <w:spacing w:before="0" w:after="160" w:line="276" w:lineRule="auto"/>
        <w:jc w:val="both"/>
      </w:pPr>
      <w:r>
        <w:rPr>
          <w:rFonts w:ascii="Times New Roman" w:hAnsi="Times New Roman"/>
          <w:color w:val="000000"/>
          <w:sz w:val="22"/>
        </w:rPr>
        <w:t>:242. Obwohl das Gesetz einen gewissen zeitlichen Spielraum bei der Zahlung des Ḥuqúqu’lláh vorsieht, ist es vorzuziehen, dass das Ḥuqúqu’lláh zu Lebzeiten eines Gläubigen beglichen wird, wann immer es fällig wird (73); in dem Fall ist die einzige Ḥuqúqu’lláh-Zahlung, für die im Testament Vorkehrungen getroffen sein sollten, eine solche zusätzliche Verbindlichkeit, die vorhanden sein mag, wenn die Vermögensverhältnisse des Gläubigen zum Tage seines Todes festgestellt werden (65).</w:t>
      </w:r>
    </w:p>
    <w:p>
      <w:pPr>
        <w:spacing w:before="0" w:after="160" w:line="276" w:lineRule="auto"/>
        <w:jc w:val="both"/>
      </w:pPr>
      <w:r>
        <w:rPr>
          <w:rFonts w:ascii="Times New Roman" w:hAnsi="Times New Roman"/>
          <w:color w:val="000000"/>
          <w:sz w:val="22"/>
        </w:rPr>
        <w:t>:253. Ein Gläubiger kann nicht für einen anderen die Pflicht übernehmen, Ḥuqúqu’lláh zu zahlen, noch kann eine Ḥuqúqu’lláh-Zahlung zweckgebunden sein oder zu Ehren von irgend jemandem geleistet werden (64, 80).</w:t>
      </w:r>
    </w:p>
    <w:p>
      <w:pPr>
        <w:spacing w:before="0" w:after="160" w:line="276" w:lineRule="auto"/>
        <w:jc w:val="both"/>
      </w:pPr>
      <w:r>
        <w:rPr>
          <w:rFonts w:ascii="Times New Roman" w:hAnsi="Times New Roman"/>
          <w:color w:val="000000"/>
          <w:sz w:val="22"/>
        </w:rPr>
        <w:t>:264. Das Gesetz des Ḥuqúqu’lláh auferlegt nur dem einzelnen Gläubigen eine Pflicht, nicht Bahá’í Institutionen oder Körperschaften (76).</w:t>
      </w:r>
    </w:p>
    <w:p>
      <w:pPr>
        <w:spacing w:before="0" w:after="160" w:line="276" w:lineRule="auto"/>
        <w:jc w:val="both"/>
      </w:pPr>
      <w:r>
        <w:rPr>
          <w:rFonts w:ascii="Times New Roman" w:hAnsi="Times New Roman"/>
          <w:color w:val="000000"/>
          <w:sz w:val="22"/>
        </w:rPr>
        <w:t>:275. Die Entscheidung darüber, welche Ausgaben »notwendig« und somit bei der Berechnung des jährlichen Vermögenszuwachses abzuziehen sind, ist dem Einzelnen überlassen. Dies gilt ebenfalls für die »erforderlichen« Einrichtungsgegenstände, die von der Zahlung des Ḥuqúqu’lláh ausgenommen sind (19, 45, 46, 48–50, 56– 58, 61, 70).</w:t>
      </w:r>
    </w:p>
    <w:p>
      <w:pPr>
        <w:spacing w:before="0" w:after="160" w:line="276" w:lineRule="auto"/>
        <w:jc w:val="both"/>
      </w:pPr>
      <w:r>
        <w:rPr>
          <w:rFonts w:ascii="Times New Roman" w:hAnsi="Times New Roman"/>
          <w:color w:val="000000"/>
          <w:sz w:val="22"/>
        </w:rPr>
        <w:t>:286. Obwohl auf die jährliche Ḥuqúqu’lláh-Zahlung hingewiesen wird, liegen Zeitpunkt und Art der Zahlung im Ermessen des einzelnen Gläubigen (69, 72, 78). Es besteht demnach keine Verpflichtung, zur Erfüllung der laufenden Ḥuqúqu’lláh-Pflicht Vermögenswerte übereilt zu veräußern (55).</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uhj-clh-de</dc:title>
  <dc:subject>Bahá'í Guidance ()</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