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27. Juni 2012</w:t>
      </w:r>
    </w:p>
    <w:p>
      <w:pPr>
        <w:spacing w:before="0" w:after="360"/>
        <w:jc w:val="left"/>
      </w:pPr>
      <w:r>
        <w:rPr>
          <w:rFonts w:ascii="Times New Roman" w:hAnsi="Times New Roman"/>
          <w:b w:val="0"/>
          <w:color w:val="000000"/>
          <w:sz w:val="22"/>
        </w:rPr>
        <w:t>An alle Nationalen Geistigen Räte</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Aus Sicht des Hauses der Gerechtigkeit birgt jeglicher derartige materielle Beitrag seitens der Bahá’í im Iran gegenwärtig das Risiko, von den Feinden des Glaubens falsch dargestellt und zur Ursache neuerlicher Übergriffe auf die Mitglieder dieser schon so schwer geprüften Gemeinde zu werden. Daher ist es am besten, wenn sie weiterhin die ihnen zur Verfügung stehenden Mittel für die Besserung ihrer Gesellschaft verwenden sowie für die finanzielle Unterstützung ihrer Gemeinde. Dennoch soll die Sehnsucht dieser standhaften Gläubigen, die Interessen des Glaubens zu fördern und zu seinem weltweiten Bedarf beizutragen, nicht unbeantwortet bleiben. Das Haus der Gerechtigkeit hat in Folge dessen entschieden, in ihrem Namen fünf Millionen Dollar zum Tempelfonds beizusteuern.</w:t>
      </w:r>
    </w:p>
    <w:p>
      <w:pPr>
        <w:spacing w:before="0" w:after="160" w:line="276" w:lineRule="auto"/>
        <w:jc w:val="both"/>
      </w:pPr>
      <w:r>
        <w:rPr>
          <w:rFonts w:ascii="Times New Roman" w:hAnsi="Times New Roman"/>
          <w:color w:val="000000"/>
          <w:sz w:val="22"/>
        </w:rPr>
        <w:t>Mit herzlichen Bahá’í-Grüßen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einer Spende an den Tempelfonds im Namen der Bahá’í im Írán (An alle Nationalen Geistigen Räte)</dc:title>
  <dc:subject>Bahá'í Guidance (27. Juni 2012)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