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2014-12-24</w:t>
      </w:r>
    </w:p>
    <w:p>
      <w:pPr>
        <w:spacing w:before="0" w:after="160" w:line="276" w:lineRule="auto"/>
        <w:jc w:val="both"/>
      </w:pPr>
      <w:r>
        <w:rPr>
          <w:rFonts w:ascii="Times New Roman" w:hAnsi="Times New Roman"/>
          <w:color w:val="000000"/>
          <w:sz w:val="22"/>
        </w:rPr>
        <w:t>311 56 24 December 2014 The National Spiritual Assembly of the Bahá’ís of the Democratic Republic of the Congo Dear Bahá’í Friends, 56.1 Further to the letter dated 31 August 2014, sent to you on</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National Spiritual Assembly of the Bahá'ís of</dc:title>
  <dc:subject>Bahá'í Guidance (2014-12-24)</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