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1965-03-09</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23.1 We are glad that you have brought to our attention the questions perplexing some of the believers.  It is much better for these questions to be put freely and openly than to have them, unexpressed, burdening the hearts of devoted believers.  Once one grasps certain basic principles of the Revelation of Bahá’u’lláh such uncertainties are easily dispelled.  This is not to say that the Cause of God contains no mysteries.  Mysteries there are indeed, but they are not of a kind to shake one’s faith once the essential tenets of the Cause and the indisputable facts of any situation are clearly understood.</w:t>
      </w:r>
    </w:p>
    <w:p>
      <w:pPr>
        <w:spacing w:before="0" w:after="160" w:line="276" w:lineRule="auto"/>
        <w:jc w:val="both"/>
      </w:pPr>
      <w:r>
        <w:rPr>
          <w:rFonts w:ascii="Times New Roman" w:hAnsi="Times New Roman"/>
          <w:color w:val="000000"/>
          <w:sz w:val="22"/>
        </w:rPr>
        <w:t>23.2 The questions put by the various believers fall into three groups.  The first group centers upon the following queries:  Why were steps taken to elect a Universal House of Justice with the foreknowledge that there would be no Guardian?  Was the time ripe for such an action?  Could not the International Bahá’í Council have carried on the work?</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(1965-03-09)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