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1965-07-22</w:t>
      </w:r>
    </w:p>
    <w:p>
      <w:pPr>
        <w:spacing w:before="0" w:after="360"/>
        <w:jc w:val="left"/>
      </w:pPr>
      <w:r>
        <w:rPr>
          <w:rFonts w:ascii="Times New Roman" w:hAnsi="Times New Roman"/>
          <w:b w:val="0"/>
          <w:color w:val="000000"/>
          <w:sz w:val="22"/>
        </w:rPr>
        <w:t>To the National Spiritual Assembly of the United S</w:t>
      </w:r>
    </w:p>
    <w:p>
      <w:pPr>
        <w:spacing w:before="0" w:after="160" w:line="276" w:lineRule="auto"/>
        <w:jc w:val="both"/>
      </w:pPr>
      <w:r>
        <w:rPr>
          <w:rFonts w:ascii="Times New Roman" w:hAnsi="Times New Roman"/>
          <w:color w:val="000000"/>
          <w:sz w:val="22"/>
        </w:rPr>
        <w:t>25.1 GRIEVE ANNOUNCE PASSING OUTSTANDING HAND CAUSE LEROY IOAS.  HIS LONG</w:t>
      </w:r>
    </w:p>
    <w:p>
      <w:pPr>
        <w:spacing w:before="280" w:after="120"/>
        <w:jc w:val="left"/>
      </w:pPr>
      <w:r>
        <w:rPr>
          <w:rFonts w:ascii="Times New Roman" w:hAnsi="Times New Roman"/>
          <w:b/>
          <w:color w:val="000000"/>
          <w:sz w:val="22"/>
        </w:rPr>
        <w:t>SERVICE BAHÁ’Í COMMUNITY UNITED STATES CROWNED ELEVATION RANK HAND</w:t>
      </w:r>
    </w:p>
    <w:p>
      <w:pPr>
        <w:spacing w:before="0" w:after="160" w:line="276" w:lineRule="auto"/>
        <w:jc w:val="both"/>
      </w:pPr>
      <w:r>
        <w:rPr>
          <w:rFonts w:ascii="Times New Roman" w:hAnsi="Times New Roman"/>
          <w:color w:val="000000"/>
          <w:sz w:val="22"/>
        </w:rPr>
        <w:t>FAITH PAVING WAY HISTORIC DISTINGUISHED SERVICES HOLY LAND.  APPOINTMENT</w:t>
      </w:r>
    </w:p>
    <w:p>
      <w:pPr>
        <w:spacing w:before="280" w:after="120"/>
        <w:jc w:val="left"/>
      </w:pPr>
      <w:r>
        <w:rPr>
          <w:rFonts w:ascii="Times New Roman" w:hAnsi="Times New Roman"/>
          <w:b/>
          <w:color w:val="000000"/>
          <w:sz w:val="22"/>
        </w:rPr>
        <w:t>FIRST SECRETARY GENERAL INTERNATIONAL BAHÁ’Í COUNCIL PERSONAL</w:t>
      </w:r>
    </w:p>
    <w:p>
      <w:pPr>
        <w:spacing w:before="280" w:after="120"/>
        <w:jc w:val="left"/>
      </w:pPr>
      <w:r>
        <w:rPr>
          <w:rFonts w:ascii="Times New Roman" w:hAnsi="Times New Roman"/>
          <w:b/>
          <w:color w:val="000000"/>
          <w:sz w:val="22"/>
        </w:rPr>
        <w:t>REPRESENTATIVE GUARDIAN FAITH TWO INTERCONTINENTAL CONFERENCES</w:t>
      </w:r>
    </w:p>
    <w:p>
      <w:pPr>
        <w:spacing w:before="280" w:after="120"/>
        <w:jc w:val="left"/>
      </w:pPr>
      <w:r>
        <w:rPr>
          <w:rFonts w:ascii="Times New Roman" w:hAnsi="Times New Roman"/>
          <w:b/>
          <w:color w:val="000000"/>
          <w:sz w:val="22"/>
        </w:rPr>
        <w:t>48ASSOCIATION HIS NAME BY BELOVED GUARDIAN OCTAGON DOOR BÁB'S SHRINE</w:t>
      </w:r>
    </w:p>
    <w:p>
      <w:pPr>
        <w:spacing w:before="280" w:after="120"/>
        <w:jc w:val="left"/>
      </w:pPr>
      <w:r>
        <w:rPr>
          <w:rFonts w:ascii="Times New Roman" w:hAnsi="Times New Roman"/>
          <w:b/>
          <w:color w:val="000000"/>
          <w:sz w:val="22"/>
        </w:rPr>
        <w:t>TRIBUTE SUPERVISORY WORK DRUM DOME THAT HOLY SEPULCHRE NOTABLE PART</w:t>
      </w:r>
    </w:p>
    <w:p>
      <w:pPr>
        <w:spacing w:before="280" w:after="120"/>
        <w:jc w:val="left"/>
      </w:pPr>
      <w:r>
        <w:rPr>
          <w:rFonts w:ascii="Times New Roman" w:hAnsi="Times New Roman"/>
          <w:b/>
          <w:color w:val="000000"/>
          <w:sz w:val="22"/>
        </w:rPr>
        <w:t>ERECTION INTERNATIONAL ARCHIVES BUILDING ALL ENSURE HIS NAME IMMORTAL</w:t>
      </w:r>
    </w:p>
    <w:p>
      <w:pPr>
        <w:spacing w:before="0" w:after="160" w:line="276" w:lineRule="auto"/>
        <w:jc w:val="both"/>
      </w:pPr>
      <w:r>
        <w:rPr>
          <w:rFonts w:ascii="Times New Roman" w:hAnsi="Times New Roman"/>
          <w:color w:val="000000"/>
          <w:sz w:val="22"/>
        </w:rPr>
        <w:t>ANNALS FAITH.  LAID TO REST BAHÁ’Í CEMETERY CLOSE FELLOW HANDS ADVISE HOLD</w:t>
      </w:r>
    </w:p>
    <w:p>
      <w:pPr>
        <w:spacing w:before="280" w:after="120"/>
        <w:jc w:val="left"/>
      </w:pPr>
      <w:r>
        <w:rPr>
          <w:rFonts w:ascii="Times New Roman" w:hAnsi="Times New Roman"/>
          <w:b/>
          <w:color w:val="000000"/>
          <w:sz w:val="22"/>
        </w:rPr>
        <w:t>BEFITTING MEMORIAL SERVICES. …</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26 Purification of the Most Holy Shrine of Bahá’u’lláh, the Qiblih of the Bahá’í World</w:t>
      </w:r>
    </w:p>
    <w:p>
      <w:pPr>
        <w:spacing w:before="280" w:after="120"/>
        <w:jc w:val="left"/>
      </w:pPr>
      <w:r>
        <w:rPr>
          <w:rFonts w:ascii="Times New Roman" w:hAnsi="Times New Roman"/>
          <w:b/>
          <w:color w:val="000000"/>
          <w:sz w:val="22"/>
        </w:rPr>
        <w:t>11 N OVEMBER  1965</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26.1 ANNOUNCE BAHÁ’Í WORLD REMOVAL FROM IMMEDIATE PRECINCTS HOLY SHRINE</w:t>
      </w:r>
    </w:p>
    <w:p>
      <w:pPr>
        <w:spacing w:before="0" w:after="160" w:line="276" w:lineRule="auto"/>
        <w:jc w:val="both"/>
      </w:pPr>
      <w:r>
        <w:rPr>
          <w:rFonts w:ascii="Times New Roman" w:hAnsi="Times New Roman"/>
          <w:color w:val="000000"/>
          <w:sz w:val="22"/>
        </w:rPr>
        <w:t>BAHÁ’U’LLÁH REMAINS MÍRZÁ DÍYÁ'U’LLÁH YOUNGER BROTHER MÍRZÁ MU ḨAMMAD-</w:t>
      </w:r>
    </w:p>
    <w:p>
      <w:pPr>
        <w:spacing w:before="280" w:after="120"/>
        <w:jc w:val="left"/>
      </w:pPr>
      <w:r>
        <w:rPr>
          <w:rFonts w:ascii="Times New Roman" w:hAnsi="Times New Roman"/>
          <w:b/>
          <w:color w:val="000000"/>
          <w:sz w:val="22"/>
        </w:rPr>
        <w:t>‘ALÍ HIS ACCOMPLICE IN EFFORTS SUBVERT FOUNDATIONS COVENANT GOD SOON</w:t>
      </w:r>
    </w:p>
    <w:p>
      <w:pPr>
        <w:spacing w:before="0" w:after="160" w:line="276" w:lineRule="auto"/>
        <w:jc w:val="both"/>
      </w:pPr>
      <w:r>
        <w:rPr>
          <w:rFonts w:ascii="Times New Roman" w:hAnsi="Times New Roman"/>
          <w:color w:val="000000"/>
          <w:sz w:val="22"/>
        </w:rPr>
        <w:t>AFTER ASCENSION BAHÁ’U’LLÁH.  THIS FINAL STEP IN PROCESS PURIFICATION SACRED INTERNATIONAL ENDOWMENTS FAITH IN BAHJÍ FROM PAST CONTAMINATION WAS</w:t>
      </w:r>
    </w:p>
    <w:p>
      <w:pPr>
        <w:spacing w:before="280" w:after="120"/>
        <w:jc w:val="left"/>
      </w:pPr>
      <w:r>
        <w:rPr>
          <w:rFonts w:ascii="Times New Roman" w:hAnsi="Times New Roman"/>
          <w:b/>
          <w:color w:val="000000"/>
          <w:sz w:val="22"/>
        </w:rPr>
        <w:t>PROVIDENTIALLY UNDERTAKEN UPON REQUEST FAMILY OLD COVENANT-BREAKERS A</w:t>
      </w:r>
    </w:p>
    <w:p>
      <w:pPr>
        <w:spacing w:before="0" w:after="160" w:line="276" w:lineRule="auto"/>
        <w:jc w:val="both"/>
      </w:pPr>
      <w:r>
        <w:rPr>
          <w:rFonts w:ascii="Times New Roman" w:hAnsi="Times New Roman"/>
          <w:color w:val="000000"/>
          <w:sz w:val="22"/>
        </w:rPr>
        <w:t>PROCESS WHOSE INITIAL STAGE WAS FULFILLED BY ‘ABDU’L-BAHÁ WHICH GATHERED</w:t>
      </w:r>
    </w:p>
    <w:p>
      <w:pPr>
        <w:spacing w:before="280" w:after="120"/>
        <w:jc w:val="left"/>
      </w:pPr>
      <w:r>
        <w:rPr>
          <w:rFonts w:ascii="Times New Roman" w:hAnsi="Times New Roman"/>
          <w:b/>
          <w:color w:val="000000"/>
          <w:sz w:val="22"/>
        </w:rPr>
        <w:t>MOMENTUM EARLY YEARS BELOVED GUARDIAN’S MINISTRY THROUGH EVACUATION</w:t>
      </w:r>
    </w:p>
    <w:p>
      <w:pPr>
        <w:spacing w:before="280" w:after="120"/>
        <w:jc w:val="left"/>
      </w:pPr>
      <w:r>
        <w:rPr>
          <w:rFonts w:ascii="Times New Roman" w:hAnsi="Times New Roman"/>
          <w:b/>
          <w:color w:val="000000"/>
          <w:sz w:val="22"/>
        </w:rPr>
        <w:t>MANSION ATTAINED CLIMAX THROUGH PURIFICATION ḤARAM-I-AQDAS AND NOW</w:t>
      </w:r>
    </w:p>
    <w:p>
      <w:pPr>
        <w:spacing w:before="280" w:after="120"/>
        <w:jc w:val="left"/>
      </w:pPr>
      <w:r>
        <w:rPr>
          <w:rFonts w:ascii="Times New Roman" w:hAnsi="Times New Roman"/>
          <w:b/>
          <w:color w:val="000000"/>
          <w:sz w:val="22"/>
        </w:rPr>
        <w:t>CONSUMMATED THROUGH CLEANSING INNER SANCTUARY MOST HALLOWED SHRINE</w:t>
      </w:r>
    </w:p>
    <w:p>
      <w:pPr>
        <w:spacing w:before="280" w:after="120"/>
        <w:jc w:val="left"/>
      </w:pPr>
      <w:r>
        <w:rPr>
          <w:rFonts w:ascii="Times New Roman" w:hAnsi="Times New Roman"/>
          <w:b/>
          <w:color w:val="000000"/>
          <w:sz w:val="22"/>
        </w:rPr>
        <w:t>QIBLIH BAHÁ’Í WORLD PRESAGING EVENTUAL CONSTRUCTION BEFITTING</w:t>
      </w:r>
    </w:p>
    <w:p>
      <w:pPr>
        <w:spacing w:before="280" w:after="120"/>
        <w:jc w:val="left"/>
      </w:pPr>
      <w:r>
        <w:rPr>
          <w:rFonts w:ascii="Times New Roman" w:hAnsi="Times New Roman"/>
          <w:b/>
          <w:color w:val="000000"/>
          <w:sz w:val="22"/>
        </w:rPr>
        <w:t>MAUSOLEUM AS ANTICIPATED BELOVED SIGN GOD ON EARTH.</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27 Reasons for Delay in Translating and Publishing the Kitáb-i-Aqdas</w:t>
      </w:r>
    </w:p>
    <w:p>
      <w:pPr>
        <w:spacing w:before="280" w:after="120"/>
        <w:jc w:val="left"/>
      </w:pPr>
      <w:r>
        <w:rPr>
          <w:rFonts w:ascii="Times New Roman" w:hAnsi="Times New Roman"/>
          <w:b/>
          <w:color w:val="000000"/>
          <w:sz w:val="22"/>
        </w:rPr>
        <w:t>6DECEMBER 1965</w:t>
      </w:r>
    </w:p>
    <w:p>
      <w:pPr>
        <w:spacing w:before="0" w:after="160" w:line="276" w:lineRule="auto"/>
        <w:jc w:val="both"/>
      </w:pPr>
      <w:r>
        <w:rPr>
          <w:rFonts w:ascii="Times New Roman" w:hAnsi="Times New Roman"/>
          <w:color w:val="000000"/>
          <w:sz w:val="22"/>
        </w:rPr>
        <w:t>The National Spiritual Assembly of the Bahá’ís of the United States Dear Bahá’í Friends, 27.1 We have received a number of inquiries as to the translation and publication of the Kitáb-i- Aqdas from friends who are unable to read it in its original form.  We feel the following extract from a letter written on behalf of the beloved Guardian by his secretary dated 27 December 1941, addressed to the National Spiritual Assembly of India and Burma clarifies this question: 4927.1a The reason it [the Kitáb-i-Aqdas] is not circulated amongst all the Bahá’ís is, first, because the Cause is not yet ready or sufficiently matured to put all the provisions of the Aqdas into effect and, second, because it is a book which requires to be supplemented by detailed explanations and to be translated into other languages by a competent body of experts.  The provisions of the Aqdas are gradually, according to the progress of the Cause, being put into effect already, both in the East and the West. ...</w:t>
      </w:r>
    </w:p>
    <w:p>
      <w:pPr>
        <w:spacing w:before="0" w:after="160" w:line="276" w:lineRule="auto"/>
        <w:jc w:val="both"/>
      </w:pPr>
      <w:r>
        <w:rPr>
          <w:rFonts w:ascii="Times New Roman" w:hAnsi="Times New Roman"/>
          <w:color w:val="000000"/>
          <w:sz w:val="22"/>
        </w:rPr>
        <w:t>27.2 As is well known, the beloved Guardian has already given in God Passes By , pp. 214 ‒15, a summary of the contents of this Most Holy Book, and included the codification of all the laws of the Kitáb-i-Aqdas as one of the objectives of the Ten Year Crusade.  It is the intention of the Universal House of Justice to achieve this objective by publishing a synopsis and codification of these laws during the current Nine Year Plan.</w:t>
      </w:r>
    </w:p>
    <w:p>
      <w:pPr>
        <w:spacing w:before="0" w:after="160" w:line="276" w:lineRule="auto"/>
        <w:jc w:val="both"/>
      </w:pPr>
      <w:r>
        <w:rPr>
          <w:rFonts w:ascii="Times New Roman" w:hAnsi="Times New Roman"/>
          <w:color w:val="000000"/>
          <w:sz w:val="22"/>
        </w:rPr>
        <w:t>27.3 Much of the Kitáb-i-Aqdas has already been translated by the beloved Guardian and has been given to the friends in the West, although not designated, in every case, as coming from the Most Holy Book.  We give you below a list of such references for your guidance:</w:t>
      </w:r>
    </w:p>
    <w:p>
      <w:pPr>
        <w:spacing w:before="0" w:after="160" w:line="276" w:lineRule="auto"/>
        <w:jc w:val="both"/>
      </w:pPr>
      <w:r>
        <w:rPr>
          <w:rFonts w:ascii="Times New Roman" w:hAnsi="Times New Roman"/>
          <w:color w:val="000000"/>
          <w:sz w:val="22"/>
        </w:rPr>
        <w:t>Gleanings from the Writings of Bahá’u’lláhSections XXXVII, LVI, LXX, LXXI,</w:t>
      </w:r>
    </w:p>
    <w:p>
      <w:pPr>
        <w:spacing w:before="280" w:after="120"/>
        <w:jc w:val="left"/>
      </w:pPr>
      <w:r>
        <w:rPr>
          <w:rFonts w:ascii="Times New Roman" w:hAnsi="Times New Roman"/>
          <w:b/>
          <w:color w:val="000000"/>
          <w:sz w:val="22"/>
        </w:rPr>
        <w:t>LXXII, XCVIII, CV, CLV, CLIX,</w:t>
      </w:r>
    </w:p>
    <w:p>
      <w:pPr>
        <w:spacing w:before="0" w:after="160" w:line="276" w:lineRule="auto"/>
        <w:jc w:val="both"/>
      </w:pPr>
      <w:r>
        <w:rPr>
          <w:rFonts w:ascii="Times New Roman" w:hAnsi="Times New Roman"/>
          <w:color w:val="000000"/>
          <w:sz w:val="22"/>
        </w:rPr>
        <w:t>and CLXV The Promised Day is Come pp. 26 (1st para.), 36 ‒37 (until the end of 2nd para.), 40 (2nd para.), and 84 ‒85 (until the end of 1st para.) The Challenging Requirements of the Present Hourpp. 16 ‒17 (until the end of 1st para.) Bahá’í Administration p. 21 (1st para.) The World Order of Bahá’u’lláh p. 134 (2nd para.) The Bahá’í Community  (1963 edition) p. 4 (2nd &amp; 3rd paras.) Star of the West , Vol. XIV pp. 112-14 27.4 The two reasons given by the Guardian in the extract of the letter quoted above need further amplification:</w:t>
      </w:r>
    </w:p>
    <w:p>
      <w:pPr>
        <w:spacing w:before="0" w:after="160" w:line="276" w:lineRule="auto"/>
        <w:jc w:val="both"/>
      </w:pPr>
      <w:r>
        <w:rPr>
          <w:rFonts w:ascii="Times New Roman" w:hAnsi="Times New Roman"/>
          <w:color w:val="000000"/>
          <w:sz w:val="22"/>
        </w:rPr>
        <w:t>27.4a 1.  As regards the first reason, regarding the timeliness of putting into effect all the provisions of the Kitáb-i-Aqdas, it must be borne in mind that the beloved Guardian further stated:</w:t>
      </w:r>
    </w:p>
    <w:p>
      <w:pPr>
        <w:spacing w:before="0" w:after="160" w:line="276" w:lineRule="auto"/>
        <w:jc w:val="both"/>
      </w:pPr>
      <w:r>
        <w:rPr>
          <w:rFonts w:ascii="Times New Roman" w:hAnsi="Times New Roman"/>
          <w:color w:val="000000"/>
          <w:sz w:val="22"/>
        </w:rPr>
        <w:t>... the Laws revealed by Bahá’u’lláh in the Aqdas are, whenever practicable and not in direct conflict with the Civil Law of the land, absolutely binding on every believer or 50Bahá’í institution whether in the East or in the West.  Certain laws, such as fasting, obligatory prayers, the consent of the parents before marriage, avoidance of alcoholic drinks, monogamy, should be regarded by all believers as universally and vitally applicable at the present time.  Others have been formulated in anticipation of a state of society destined to emerge from the chaotic conditions that prevail today.  When the Aqdas is published this matter will be further explained and elucidated.  What has not been formulated in the Aqdas, in addition to matters of detail and of secondary importance arising out of the application of the Laws already formulated by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National Spiritual Assembly of the United S</dc:title>
  <dc:subject>Bahá'í Guidance (1965-07-22)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