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1968-06-24</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59.1 The majestic unfoldment of Bahá’u’lláh’s world-redeeming administrative system has been marked by the successive establishment of the various institutions and agencies which constitute the framework of that divinely created Order.  Thus, more than a quarter of a century after the emergence of the first National Spiritual Assemblies of the Bahá’í world the Institution of the Hands of the Cause of God was formally established, with the appointment by the beloved Guardian, in conformity with the provisions of ‘Abdu’l-Bahá’s Will and Testament, of the first contingent of these high-ranking officers of the Faith.  Following the passing of the Guardian of the Cause of God, it fell to the House of Justice to devise a way, within the Administrative Order, of developing “the Institution of the Hands of the Cause with a view to extension into the future of its appointed functions of protection and propagation,” and this was made a goal of the 99Nine Year Plan.  Much thought and study has been given to the question over the past four years, and the texts have been collected and reviewed.  During the last two months, this goal, as announced in our cable to the National Conventions, has been the object of prolonged and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(1968-06-24)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