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1970-01-01</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76.1 In order to assist the friends everywhere in the proper appreciation of the importance and meaning of contributing to Bahá’í Funds, and to remind them as well as all Assemblies of the underlying principles that must govern the offering and administration of these funds, we have made a compilation of extracts from the Guardian’s letters on this subject which we are now sharing with you.</w:t>
      </w:r>
    </w:p>
    <w:p>
      <w:pPr>
        <w:spacing w:before="0" w:after="160" w:line="276" w:lineRule="auto"/>
        <w:jc w:val="both"/>
      </w:pPr>
      <w:r>
        <w:rPr>
          <w:rFonts w:ascii="Times New Roman" w:hAnsi="Times New Roman"/>
          <w:color w:val="000000"/>
          <w:sz w:val="22"/>
        </w:rPr>
        <w:t>76.2 You may use these extracts in any manner you deem advisable, at conferences, in summer schools, in deepening classes, and in your newsletters and circular letters.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77 Noninterference in Political Affairs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Spiritual Assemblies of the Bahá'ís of th</dc:title>
  <dc:subject>Bahá'í Guidance (1970-01-01)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