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1970-12-29</w:t>
      </w:r>
    </w:p>
    <w:p>
      <w:pPr>
        <w:spacing w:before="0" w:after="360"/>
        <w:jc w:val="left"/>
      </w:pPr>
      <w:r>
        <w:rPr>
          <w:rFonts w:ascii="Times New Roman" w:hAnsi="Times New Roman"/>
          <w:b w:val="0"/>
          <w:color w:val="000000"/>
          <w:sz w:val="22"/>
        </w:rPr>
        <w:t>To the Followers of Bahá’u’lláh in every land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87.1 We have reached a critical point in the progress of the Nine Year Plan.  In many lands multitudes are thirsty and eager to embrace the Message of Bahá’u’lláh.  In others, materially advanced but spiritually backward, a great effort is needed to awaken the people to the light of this New Day.  The recently established National Spiritual Assemblies in many lands are occupied in acquiring the Ḥaẓíratu’l-Quds, Temple Sites, National Endowments and Teaching Institutes essential for the proper development of the Administrative Order and the deepening of 136the Bahá’í knowledge of their believers, while in the heart of the Western Hemisphere, the Mashriqu’l-Adhkár of Panama requires several hundred thousand dollars for its completion.  To accomplish these many essential tasks the resources of the Cause are being stretched to their uttermost.</w:t>
      </w:r>
    </w:p>
    <w:p>
      <w:pPr>
        <w:spacing w:before="0" w:after="160" w:line="276" w:lineRule="auto"/>
        <w:jc w:val="both"/>
      </w:pPr>
      <w:r>
        <w:rPr>
          <w:rFonts w:ascii="Times New Roman" w:hAnsi="Times New Roman"/>
          <w:color w:val="000000"/>
          <w:sz w:val="22"/>
        </w:rPr>
        <w:t>87.2 At this crucial moment, when the activities of the believers and the expenditure of funds should be increased to seize the opportunities which lie before us, the Bahá’í International Fund finds itself plunged into a grave crisis by a steep reduction in contributions.  Undoubtedly worldwide economic difficulties are one of the causes of this, but we are confident that the believers throughout the world will respond to this challenge and will make every sacrifice to ensure that the work of the Cause of God goes forward unimpeded.</w:t>
      </w:r>
    </w:p>
    <w:p>
      <w:pPr>
        <w:spacing w:before="0" w:after="160" w:line="276" w:lineRule="auto"/>
        <w:jc w:val="both"/>
      </w:pPr>
      <w:r>
        <w:rPr>
          <w:rFonts w:ascii="Times New Roman" w:hAnsi="Times New Roman"/>
          <w:color w:val="000000"/>
          <w:sz w:val="22"/>
        </w:rPr>
        <w:t>Demands on the International Fund 87.3  Since 1963 when there were 56 National Spiritual Assemblies, to the present time when there are 94 (soon to be 101), the work of the Cause has expanded so rapidly, both in the teaching field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every land</dc:title>
  <dc:subject>Bahá'í Guidance (1970-12-29)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