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1971-04-21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96.1 On 28 November 1971 the Bahá’í World will commemorate the fiftieth anniversary of the Passing of ‘Abdu’l-Bahá, the Center of the Covenant, the Ensign of the Oneness of Mankind, the Mystery of God, an event which signalized at once the end of the Heroic Age of our Faith, the opening of the Formative Age and the birth of the Administrative Order, the nucleus and pattern of the World Order of Bahá’u’lláh.  As we contemplate the fruits of the Master's Ministry harvested during the first fifty years of the Formative Age, a period dominated by the dynamic and beloved figure of Shoghi Effendi, whose life was dedicated to the systematic implementation of the provisions of the Will and Testament of ‘Abdu’l-Bahá and of the Tablets of the Divine Plan—the two charters provided by the Master for the administration and the teaching of the Cause of God—we may well experience a sense of awe at the prospect of the next fifty years. That first half-century of the Formative Age has seen the Bahá’í Community grow from a few hundred centers in 35 countries in 1921, to over 46,000 centers in 135 independent states and 182 significant territories and islands at the present day, has been marked by the raising throughout the world of the framework of the Administrative Order, which in its turn has brought recognition of the Faith by many governments and civil authorities and  accreditation in consultative status to the Economic and Social Council of the United Nations, and has witnessed the spread to many parts of the world of that “entry by troops” promised by the Master and so long and so eagerly anticipated by the friends.</w:t>
      </w:r>
    </w:p>
    <w:p>
      <w:pPr>
        <w:spacing w:before="0" w:after="160" w:line="276" w:lineRule="auto"/>
        <w:jc w:val="both"/>
      </w:pPr>
      <w:r>
        <w:rPr>
          <w:rFonts w:ascii="Times New Roman" w:hAnsi="Times New Roman"/>
          <w:color w:val="000000"/>
          <w:sz w:val="22"/>
        </w:rPr>
        <w:t>96.2 A new horizon, bright with intimations of thrilling developments in the unfolding life of the Cause of God, is now discernible.  The approach to it is complete victory in the Nine Year Plan. For we should never forget that the beloved Guardian’s Ten Year Crusade, the current Nine Year Plan, other plans to follow throughout successive epochs of the Formative Age of the Faith, are all phases in the implementation of the Divine Plan of ‘Abdu’l-Bahá, set out in fourteen of His Tablets to North America.</w:t>
      </w:r>
    </w:p>
    <w:p>
      <w:pPr>
        <w:spacing w:before="0" w:after="160" w:line="276" w:lineRule="auto"/>
        <w:jc w:val="both"/>
      </w:pPr>
      <w:r>
        <w:rPr>
          <w:rFonts w:ascii="Times New Roman" w:hAnsi="Times New Roman"/>
          <w:color w:val="000000"/>
          <w:sz w:val="22"/>
        </w:rPr>
        <w:t>Review of Significant Achievements 96.3 The Nine Year Plan is well advanced, and this Ri ḍván will witness the establishment of seven more National Spiritual Assemblies, five in Africa, one in South America and one in the Pacific, bringing the total number of these exalted bodies to 101.  Next Ri ḍván the nine already announced will be formed, together with 4 more, one each in Afghanistan, Arabia, the Windward Islands and Puerto Rico, bringing the total to 114, six more than called for in the Nine Year Plan. The members of all National Spiritual Assemblies which will be elected at Ri ḍván 1972 will take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(1971-04-21)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