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THE UNIVERSAL HOUSE OF JUSTICE</w:t>
      </w:r>
    </w:p>
    <w:p>
      <w:pPr>
        <w:spacing w:before="0" w:after="720"/>
        <w:jc w:val="center"/>
      </w:pPr>
      <w:r>
        <w:rPr>
          <w:rFonts w:ascii="Times New Roman" w:hAnsi="Times New Roman"/>
          <w:b w:val="0"/>
          <w:color w:val="000000"/>
          <w:sz w:val="22"/>
        </w:rPr>
        <w:t>1971-07-12</w:t>
      </w:r>
    </w:p>
    <w:p>
      <w:pPr>
        <w:spacing w:before="0" w:after="360"/>
        <w:jc w:val="left"/>
      </w:pPr>
      <w:r>
        <w:rPr>
          <w:rFonts w:ascii="Times New Roman" w:hAnsi="Times New Roman"/>
          <w:b w:val="0"/>
          <w:color w:val="000000"/>
          <w:sz w:val="22"/>
        </w:rPr>
        <w:t>To all National Spiritual Assemblies</w:t>
      </w:r>
    </w:p>
    <w:p>
      <w:pPr>
        <w:spacing w:before="0" w:after="180"/>
        <w:jc w:val="left"/>
      </w:pPr>
      <w:r>
        <w:rPr>
          <w:rFonts w:ascii="Times New Roman" w:hAnsi="Times New Roman"/>
          <w:b w:val="0"/>
          <w:color w:val="000000"/>
          <w:sz w:val="22"/>
        </w:rPr>
        <w:t>Dear Bahá’í Friends,</w:t>
      </w:r>
    </w:p>
    <w:p>
      <w:pPr>
        <w:spacing w:before="0" w:after="160" w:line="276" w:lineRule="auto"/>
        <w:jc w:val="both"/>
      </w:pPr>
      <w:r>
        <w:rPr>
          <w:rFonts w:ascii="Times New Roman" w:hAnsi="Times New Roman"/>
          <w:color w:val="000000"/>
          <w:sz w:val="22"/>
        </w:rPr>
        <w:t>99.1 We have noted with deep satisfaction that some National Spiritual Assemblies have already initiated plans to befittingly commemorate the Fiftieth Anniversary of the passing of ‘Abdu’l- Bahá and the inception of the Formative Age of the Bahá’í Dispensation.</w:t>
      </w:r>
    </w:p>
    <w:p>
      <w:pPr>
        <w:spacing w:before="0" w:after="160" w:line="276" w:lineRule="auto"/>
        <w:jc w:val="both"/>
      </w:pPr>
      <w:r>
        <w:rPr>
          <w:rFonts w:ascii="Times New Roman" w:hAnsi="Times New Roman"/>
          <w:color w:val="000000"/>
          <w:sz w:val="22"/>
        </w:rPr>
        <w:t>99.2 We feel it would be highly fitting for the three days, 26 to 28 November, during which the Day of the Covenant and the Anniversary of the Ascension of ‘Abdu’l-Bahá occur, to be set aside this year by all National Spiritual Assemblies for specially arranged gatherings and conferences, convened either nationally or locally or both, on the three following main themes: The Bahá’í Covenant, The Formative Age, and The Life of ‘Abdu’l-Bahá.</w:t>
      </w:r>
    </w:p>
    <w:p>
      <w:pPr>
        <w:spacing w:before="0" w:after="160" w:line="276" w:lineRule="auto"/>
        <w:jc w:val="both"/>
      </w:pPr>
      <w:r>
        <w:rPr>
          <w:rFonts w:ascii="Times New Roman" w:hAnsi="Times New Roman"/>
          <w:color w:val="000000"/>
          <w:sz w:val="22"/>
        </w:rPr>
        <w:t>99.3 We hope that these gatherings will serve to intensify the consecration of the workers in the Divine Vineyard in every land, and provide them with the opportunity, especially in the watches 155of the night of that Ascension, when they will be commemorating the passing hour of our Beloved Master, to renew their pledge to Bahá’u’lláh and to rededicate themselves to the accomplishment of the as yet unfulfilled goals of the Nine Year Plan.</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 all National Spiritual Assemblies</dc:title>
  <dc:subject>Bahá'í Guidance (1971-07-12)</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