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1972-04-21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110.1 The opening of the final year of the Nine Year Plan sees the Bahá’í world community poised for overwhelming victory.  With grateful hearts we acknowledge the continuing confirmations which have attended its efforts and the Divine bounties which have never ceased to rain down upon this blessed, this ever-developing embryonic world order.</w:t>
      </w:r>
    </w:p>
    <w:p>
      <w:pPr>
        <w:spacing w:before="0" w:after="160" w:line="276" w:lineRule="auto"/>
        <w:jc w:val="both"/>
      </w:pPr>
      <w:r>
        <w:rPr>
          <w:rFonts w:ascii="Times New Roman" w:hAnsi="Times New Roman"/>
          <w:color w:val="000000"/>
          <w:sz w:val="22"/>
        </w:rPr>
        <w:t>163Review of Significant Achievements 110.2 The Mashriqu’l-Adhkár of Panama, the Mother Temple of Latin America, will be dedicated this Ri ḍván.  Three beloved Hands of the Cause, Amatu’l-Bahá Rú ḥíyyih Khánum representing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(1972-04-21)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