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1973-05-07</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130.1  It is now possible to share with you all the news of an event which crowns the victories with which  Bahá’u’lláh has blessed His followers during the Nine Year Plan, an event of which the true significance will be fully understood only in the course of centuries to come:  a reigning monarch has accepted the Message of Bahá’u’lláh.</w:t>
      </w:r>
    </w:p>
    <w:p>
      <w:pPr>
        <w:spacing w:before="0" w:after="160" w:line="276" w:lineRule="auto"/>
        <w:jc w:val="both"/>
      </w:pPr>
      <w:r>
        <w:rPr>
          <w:rFonts w:ascii="Times New Roman" w:hAnsi="Times New Roman"/>
          <w:color w:val="000000"/>
          <w:sz w:val="22"/>
        </w:rPr>
        <w:t>130.2  Among those to whom The Proclamation of Bahá’u’lláh  was presented in 1967 was His Highness Malietoa Tanumafili II, the Head of State of the independent nation of Western Samoa in the heart of the Pacific Ocean.  His Highness, who had already heard of the Faith, showed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(1973-05-07)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