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1973-06-08</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132.1  The centennial year of the revelation of the Kitáb-i-Aqdas has already witnessed events of such capital significance in the annals of the Bahá’í Dispensation as to cause us to contemplate with awe the rapidity with which Divine Providence is advancing the Cause of the Most Great Name.  The time is indeed propitious for the establishment of the International Teaching Center, a development which, at one and the same time, brings to fruition the work of the Hands of the Cause residing in the Holy Land and provides for its extension into the future, links the institution of the Boards of Counselors even more intimately with that of the Hands of the  Cause of God, and powerfully reinforces the discharge of the rapidly growing responsibilities of the Universal House of Justice.</w:t>
      </w:r>
    </w:p>
    <w:p>
      <w:pPr>
        <w:spacing w:before="0" w:after="160" w:line="276" w:lineRule="auto"/>
        <w:jc w:val="both"/>
      </w:pPr>
      <w:r>
        <w:rPr>
          <w:rFonts w:ascii="Times New Roman" w:hAnsi="Times New Roman"/>
          <w:color w:val="000000"/>
          <w:sz w:val="22"/>
        </w:rPr>
        <w:t>132.2  This International Teaching Center now established will, in due course, operate from that building designated by the Guardian as the seat for the Hands of the Cause, which must be raised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(1973-06-08)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