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1973-07-09</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133.1 We have received your letter of 19 June 1973 and can sympathize with the problems that Bahá’í youth face when trying to live up to the Bahá’í standards of behavior.  It is, perhaps, natural that in the bewildering amoral environment in which Bahá’í youth are growing up they feel the need for specific instructions on which intimacies are permissible and which are not. However, we feel it would be most unwise for any Bahá’í institution to issue detailed instructions about this.</w:t>
      </w:r>
    </w:p>
    <w:p>
      <w:pPr>
        <w:spacing w:before="0" w:after="160" w:line="276" w:lineRule="auto"/>
        <w:jc w:val="both"/>
      </w:pPr>
      <w:r>
        <w:rPr>
          <w:rFonts w:ascii="Times New Roman" w:hAnsi="Times New Roman"/>
          <w:color w:val="000000"/>
          <w:sz w:val="22"/>
        </w:rPr>
        <w:t>133.2  The Bahá’í youth should study the teachings on chastity and, with these in mind, should avoid any behavior which would arouse passions which would tempt them to violate them.  In deciding what acts are permissible to them in the light of these considerations the youth must use their own judgement, following the guidance of their consciences and the advice of their parents. 133.3 If Bahá’í youth combine such personal purity with an attitude of uncensorious forbearance towards others they will find that those who may have criticized or even mocked them will come, in time, to respect them.  They will, moreover, be laying a firm foundation for future married happiness.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134 Formation of the National Spiritual Assembly of Equatorial Guinea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Local Spiritual Assembly</dc:title>
  <dc:subject>Bahá'í Guidance (1973-07-09)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