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1974-04-05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144.1 CHARLES MASON REMEY WHOSE ARROGANT ATTEMPT USURP GUARDIANSHIP AFTER</w:t>
      </w:r>
    </w:p>
    <w:p>
      <w:pPr>
        <w:spacing w:before="0" w:after="160" w:line="276" w:lineRule="auto"/>
        <w:jc w:val="both"/>
      </w:pPr>
      <w:r>
        <w:rPr>
          <w:rFonts w:ascii="Times New Roman" w:hAnsi="Times New Roman"/>
          <w:color w:val="000000"/>
          <w:sz w:val="22"/>
        </w:rPr>
        <w:t>PASSING SHOGHI EFFENDI LED TO HIS EXPULSION FROM RANKS FAITHFUL HAS DIED IN FLORENCE ITALY IN HUNDREDTH YEAR OF HIS LIFE BURIED WITHOUT RELIGIOUS RITES ABANDONED BY ERSTWHILE FOLLOWERS.  HISTORY THIS PITIABLE DEFECTION BY ONE</w:t>
      </w:r>
    </w:p>
    <w:p>
      <w:pPr>
        <w:spacing w:before="280" w:after="120"/>
        <w:jc w:val="left"/>
      </w:pPr>
      <w:r>
        <w:rPr>
          <w:rFonts w:ascii="Times New Roman" w:hAnsi="Times New Roman"/>
          <w:b/>
          <w:color w:val="000000"/>
          <w:sz w:val="22"/>
        </w:rPr>
        <w:t>WHO HAD RECEIVED GREAT HONORS FROM BOTH MASTER AND GUARDIAN</w:t>
      </w:r>
    </w:p>
    <w:p>
      <w:pPr>
        <w:spacing w:before="280" w:after="120"/>
        <w:jc w:val="left"/>
      </w:pPr>
      <w:r>
        <w:rPr>
          <w:rFonts w:ascii="Times New Roman" w:hAnsi="Times New Roman"/>
          <w:b/>
          <w:color w:val="000000"/>
          <w:sz w:val="22"/>
        </w:rPr>
        <w:t>CONSTITUTES YET ANOTHER EXAMPLE FUTILITY ALL ATTEMPTS UNDERMINE</w:t>
      </w:r>
    </w:p>
    <w:p>
      <w:pPr>
        <w:spacing w:before="280" w:after="120"/>
        <w:jc w:val="left"/>
      </w:pPr>
      <w:r>
        <w:rPr>
          <w:rFonts w:ascii="Times New Roman" w:hAnsi="Times New Roman"/>
          <w:b/>
          <w:color w:val="000000"/>
          <w:sz w:val="22"/>
        </w:rPr>
        <w:t>IMPREGNABLE COVENANT CAUSE BAHÁ’U’LLÁH.</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145 Laws of the Kitáb-i-Aqdas Concerning Men and Women</w:t>
      </w:r>
    </w:p>
    <w:p>
      <w:pPr>
        <w:spacing w:before="280" w:after="120"/>
        <w:jc w:val="left"/>
      </w:pPr>
      <w:r>
        <w:rPr>
          <w:rFonts w:ascii="Times New Roman" w:hAnsi="Times New Roman"/>
          <w:b/>
          <w:color w:val="000000"/>
          <w:sz w:val="22"/>
        </w:rPr>
        <w:t>28 A PRIL  1974</w:t>
      </w:r>
    </w:p>
    <w:p>
      <w:pPr>
        <w:spacing w:before="0" w:after="160" w:line="276" w:lineRule="auto"/>
        <w:jc w:val="both"/>
      </w:pPr>
      <w:r>
        <w:rPr>
          <w:rFonts w:ascii="Times New Roman" w:hAnsi="Times New Roman"/>
          <w:color w:val="000000"/>
          <w:sz w:val="22"/>
        </w:rPr>
        <w:t>To an individual Believer Dear Bahá’í Friend, 145.1 The various questions you set forth in your letter of 18 February were noted, and we offer you the following comments.</w:t>
      </w:r>
    </w:p>
    <w:p>
      <w:pPr>
        <w:spacing w:before="0" w:after="160" w:line="276" w:lineRule="auto"/>
        <w:jc w:val="both"/>
      </w:pPr>
      <w:r>
        <w:rPr>
          <w:rFonts w:ascii="Times New Roman" w:hAnsi="Times New Roman"/>
          <w:color w:val="000000"/>
          <w:sz w:val="22"/>
        </w:rPr>
        <w:t>145.2 The Laws of the Kitáb-i-Aqdas, and indeed all the Teachings of the Faith, form a coherent whole; therefore in order to understand their implications they must be considered in their own context.  For example, in the case of intestacy, as you have noted, the eldest son receives preferential treatment in certain respects but, as ‘Abdu’l-Bahá has explained in one of His Tablets, he should take into consideration the needs of the other heirs.</w:t>
      </w:r>
    </w:p>
    <w:p>
      <w:pPr>
        <w:spacing w:before="0" w:after="160" w:line="276" w:lineRule="auto"/>
        <w:jc w:val="both"/>
      </w:pPr>
      <w:r>
        <w:rPr>
          <w:rFonts w:ascii="Times New Roman" w:hAnsi="Times New Roman"/>
          <w:color w:val="000000"/>
          <w:sz w:val="22"/>
        </w:rPr>
        <w:t>211145.3  Furthermore it should be remembered that, as Shoghi Effendi has explained (see The World Order of Bahá’u’lláh , page 148), Bahá’u’lláh has deliberately left gaps in the body of His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(1974-04-05)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