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1977-03-06</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189.1  The establishment and strong growth of Local Spiritual Assemblies is one of the most fundamental requirements for the spread of the Message of Bahá’u’lláh, the development of Bahá’í community life and the emergence of a transformed society.  This theme has been made one of the central goals of the Five Year Plan, and National Spiritual Assemblies, aided by their committees, have been making strenuous efforts to establish new Local Spiritual Assemblies and to consolidate those which have lapsed or are in need of strengthening.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c:title>
  <dc:subject>Bahá'í Guidance (1977-03-06)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