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1979-02-19</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to you and other selected National Spiritual Assemblies of the world on 6 March 1977.  In that letter, a copy of which is enclosed for your ease of reference, permission was given to hold the election of Local Spiritual Assemblies during the twelve days of Ri ḍván if certain conditions existed in some localities.  This is to inform you that, until further notice, it is permissible to follow this procedure every Ri ḍván where it is called for.</w:t>
      </w:r>
    </w:p>
    <w:p>
      <w:pPr>
        <w:spacing w:before="0" w:after="160" w:line="276" w:lineRule="auto"/>
        <w:jc w:val="both"/>
      </w:pPr>
      <w:r>
        <w:rPr>
          <w:rFonts w:ascii="Times New Roman" w:hAnsi="Times New Roman"/>
          <w:color w:val="000000"/>
          <w:sz w:val="22"/>
        </w:rPr>
        <w:t>219.2 Furthermore, in view of the conditions of the Faith at this stage in its development, the House of Justice has decided that the provision set forth under the Five Year Plan permitting the establishment of Local Spiritual Assemblies which are being formed for the first time, whenever there are nine or more adult believers residing in a locality, will continue to apply after the completion of the Five Year Plan.</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308220 Refutation of False Accusations against Iranian Bahá’ís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(1979-02-19)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