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1979-02-26</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220.1  Recent events in Iran have focused the attention of the world's news media on that country, and the Bahá’ís and the Bahá’í Faith have been mentioned frequently.  Our enemies have spread many misleading statements and calumnies through the media.</w:t>
      </w:r>
    </w:p>
    <w:p>
      <w:pPr>
        <w:spacing w:before="0" w:after="160" w:line="276" w:lineRule="auto"/>
        <w:jc w:val="both"/>
      </w:pPr>
      <w:r>
        <w:rPr>
          <w:rFonts w:ascii="Times New Roman" w:hAnsi="Times New Roman"/>
          <w:color w:val="000000"/>
          <w:sz w:val="22"/>
        </w:rPr>
        <w:t>220.2  Already in the United States the prompt reaction of Local Spiritual Assemblies and the National  Spiritual Assembly to an attack on the Faith made during a national television program has resulted in the greatest publicity for the Cause for many years.</w:t>
      </w:r>
    </w:p>
    <w:p>
      <w:pPr>
        <w:spacing w:before="0" w:after="160" w:line="276" w:lineRule="auto"/>
        <w:jc w:val="both"/>
      </w:pPr>
      <w:r>
        <w:rPr>
          <w:rFonts w:ascii="Times New Roman" w:hAnsi="Times New Roman"/>
          <w:color w:val="000000"/>
          <w:sz w:val="22"/>
        </w:rPr>
        <w:t>220.3 The friends are urged through their National and Local Assemblies, and individually, and without in any way criticizing or confronting editors and program directors, to offer articles, letters to editors, statements to radio and television producers and to take occasional advertisements.  All these should be linked to any mention of the Faith, particularly though not necessarily a misleading one, and should be solely concerned with repudiating falsehoods and giving the truth about the Faith, not indulging in argument or complaint.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(1979-02-26)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