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1980-01-18</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attitude of present-day society towards divorce is reflected in some parts of the Bahá’í World Community.  Our Teachings on this subject are clear and in direct contrast to the loose and casual attitude of the “permissive society,” and it is vital that the Bahá’í Community practice these Teachings.</w:t>
      </w:r>
    </w:p>
    <w:p>
      <w:pPr>
        <w:spacing w:before="0" w:after="160" w:line="276" w:lineRule="auto"/>
        <w:jc w:val="both"/>
      </w:pPr>
      <w:r>
        <w:rPr>
          <w:rFonts w:ascii="Times New Roman" w:hAnsi="Times New Roman"/>
          <w:color w:val="000000"/>
          <w:sz w:val="22"/>
        </w:rPr>
        <w:t>244.2 In order to help the believers appreciate the need to preserve the sacred marital bond, the Research Department has, at the instruction of the House of Justice, prepared a compilation of 338texts on the reprehensibility of divorce in the light of our Teachings.  This compilation is now ready and is being shared with all National Spiritual Assemblies, who are left free to use the texts in any manner they deem advisable.</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DEPARTMENT OF THE SECRETARIAT</w:t>
      </w:r>
    </w:p>
    <w:p>
      <w:pPr>
        <w:spacing w:before="0" w:after="160" w:line="276" w:lineRule="auto"/>
        <w:jc w:val="both"/>
      </w:pPr>
      <w:r>
        <w:rPr>
          <w:rFonts w:ascii="Times New Roman" w:hAnsi="Times New Roman"/>
          <w:color w:val="000000"/>
          <w:sz w:val="22"/>
        </w:rPr>
        <w:t>245 Passing of Inparaju Chinniah, Continental Counsellor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(1980-01-18)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