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1980-05-27</w:t>
      </w:r>
    </w:p>
    <w:p>
      <w:pPr>
        <w:spacing w:before="0" w:after="160" w:line="276" w:lineRule="auto"/>
        <w:jc w:val="both"/>
      </w:pPr>
      <w:r>
        <w:rPr>
          <w:rFonts w:ascii="Times New Roman" w:hAnsi="Times New Roman"/>
          <w:color w:val="000000"/>
          <w:sz w:val="22"/>
        </w:rPr>
        <w:t>the Kitáb-i-Aqdas 251.3  The institution of the Covenant has a direct bearing on the implementation of the laws of the Kitáb-i-Aqdas.  This Book is the repository of the basic laws for the Dispensation to be implemented gradually in accordance with the guidance given by God through those infallible Institutions which lie at the heart of the Covenant.  Indeed, one of those Institutions, the Universal House of Justice, has been given by Bahá’u’lláh the task not only of applying the laws but of supplementing them and of making laws on all matters not explicitly covered in the Sacred Text.  An English translation of the Kitáb-i-Aqdas was made by Dr. Earl E. Elder and Dr. 350William McE. Miller, two men who were Presbyterian missionaries in Persia and have long been strongly antagonistic to the Faith.  A great many of the statements that they make about its history are based on the assertions of Covenant-breakers or opponents of the Faith—rather like a history of Christianity based primarily on statements by enemies of Jesus Christ.  Dr. Miller, for example, places great reliance on a document called the “Nuq ṭatu’l-Káf,” which is, in fact, spurious, as is fully demonstrated by the Hand of the Cause Hasan Balyuzi in his book Edward Granville Browne and the Bahá’í Faith .</w:t>
      </w:r>
    </w:p>
    <w:p>
      <w:pPr>
        <w:spacing w:before="0" w:after="160" w:line="276" w:lineRule="auto"/>
        <w:jc w:val="both"/>
      </w:pPr>
      <w:r>
        <w:rPr>
          <w:rFonts w:ascii="Times New Roman" w:hAnsi="Times New Roman"/>
          <w:color w:val="000000"/>
          <w:sz w:val="22"/>
        </w:rPr>
        <w:t>251.4 The reasons for the delay in the translation of the Kitáb-i-Aqdas are given in the introduction to the Synopsis and Codification .  The Kitáb-i-Aqdas itself is the kernel of a vast structure of Bahá’í law that will have to come into being in the years and centuries ahead as the unity of mankind is established and develops.  Thus to properly understand the contents of that Book one should also read many other Tablets of Bahá’u’lláh relating to them, as well as the interpretations of ‘Abdu’l-Bahá and the Guardian, and realize that great areas of detail have been left by</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Extracts from a Reply written on behalf of the Uni</dc:title>
  <dc:subject>Bahá'í Guidance (1980-05-27)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