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1980-07-16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Bahá’ís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254.1 WITH HEARTS LADEN WITH SORROW YET FILLED WITH PRIDE AND ADMIRATION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ANNOUNCE MARTYRDOM IN CRADLE FAITH OF YADU’LLÁH ÁSTÁNÍ AND FARÁMARZ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SAMANDARÍ RESPECTIVELY CHAIRMAN MEMBER LOCAL ASSEMBLY TABRÍZ.  THESE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TWO HEROIC SOULS, TOGETHER WITH BAHÁR VUJDÁNÍ OF MAHÁBÁD, GHULÁM-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ḤUSAYN A’ ẒAMÍ OF SANGSAR AND MÍR-ASADU’LLÁH MUKHTÁRÍ OF BÍRJAND, WHO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DURING PAST SEVERAL MONTHS ALSO SUFFERED CRUEL MARTYRDOM, HAVE JOINED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RANKS THEIR NOBLE FOREBEARS HEROIC AGE.  BAHÁ’Í WORLD WITNESSING WITH AWE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AND WONDER VALIANT BELIEVERS CRADLE FAITH, WORTHY HEIRS OF DAWN-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BREAKERS, ONCE AGAIN BEARING SUCCESSIVE WAVES OF REPRESSION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HARASSMENT, ARRESTS AND KILLINGS, AND CONFISCATION OF PERSONAL PROPERTIES.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354254.2  MAY FOLLOWERS MOST GREAT NAME, INSPIRED BY PRODIGIOUS ACTS HEROISM THEIR LONG-SUFFERING BRETHREN IRAN, ARISE, WITH RENEWED CONSECRATION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VIGOR, WIN FRESH VICTORIES, REWARD SACRIFICES, COMPENSATE DISABILITIES,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CHEER LONGING HEARTS STAUNCH STEADFAST BELIEVERS HOMELAND BAHÁ’U’LLÁH.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255 Vigorous Steps Taken in Defense of the Bahá’ís of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Bahá'ís of the World</dc:title>
  <dc:subject>Bahá'í Guidance (1980-07-16)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