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1981-06-08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284.1  At the outset of the Seven Year Plan, faced with tremendous tasks to be accomplished by the Bahá’í world, and confronted by the seemingly crippling financial losses that resulted from the savage onslaught of inveterate enemies upon the valiant believers in the Cradle of the Faith, the Universal House of Justice turned with fervent hope to the believers in the rest of the world, calling upon them to arise and champion the cause of their persecuted brethren in the international arena and, through self-sacrifice and the exercise of wisestewardship of the funds of the Faith, to enable its work to go forward unhindered by the sudden inability of the believers in Iran to continue their major role in providing the lifeblood of the Cause.  In both fields, these past two years have witnessed astonishing victories.</w:t>
      </w:r>
    </w:p>
    <w:p>
      <w:pPr>
        <w:spacing w:before="0" w:after="160" w:line="276" w:lineRule="auto"/>
        <w:jc w:val="both"/>
      </w:pPr>
      <w:r>
        <w:rPr>
          <w:rFonts w:ascii="Times New Roman" w:hAnsi="Times New Roman"/>
          <w:color w:val="000000"/>
          <w:sz w:val="22"/>
        </w:rPr>
        <w:t>284.2 The manner in which the case of the persecuted Faith of Bahá’u’lláh has been blazoned in the media, conveying its message to millions of souls who had scarcely if at all heard of it before; and the degree to which world authorities have risen to plead its case and call for its vindication, have both been witnessed with eager and uplifted hearts by Bahá’ís in all lands.  Now the Universal House of Justice has instructed us to inform you that in supporting the Bahá’í International Fund the self-sacrificing followers of the Blessed Beauty have won similar victories.</w:t>
      </w:r>
    </w:p>
    <w:p>
      <w:pPr>
        <w:spacing w:before="0" w:after="160" w:line="276" w:lineRule="auto"/>
        <w:jc w:val="both"/>
      </w:pPr>
      <w:r>
        <w:rPr>
          <w:rFonts w:ascii="Times New Roman" w:hAnsi="Times New Roman"/>
          <w:color w:val="000000"/>
          <w:sz w:val="22"/>
        </w:rPr>
        <w:t>284.3 The manifold acts of devotion and service that have been so distinctive a mark of progress in the opening phase of the Seven Year Plan have not only laid a firm foundation for the development of the institutions of the Faith worldwide, but have also been manifested in an outpouring of financial substance that has made possible the setting of goals for the second phase of the Plan that will enhance the prestige of our beloved Faith and hasten the day of its complete emergence from obscurity.  The financial needs of the first phase of the Plan have been fully met.  The teaching work has continued with unabated zeal.  The Seat of the Universal House of Justice is now nearing completion and the funds required for that tremendous task are in hand. The Mashriqu’l-Adhkár of the Indian subcontinent is rising and the work on that for Samoa will shortly begin.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(1981-06-08)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