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1981-07-20</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288.1 It is with great pleasure we announce that the following Hands of the Cause of God have been named  as our representatives to the International Conferences:</w:t>
      </w:r>
    </w:p>
    <w:p>
      <w:pPr>
        <w:spacing w:before="0" w:after="160" w:line="276" w:lineRule="auto"/>
        <w:jc w:val="both"/>
      </w:pPr>
      <w:r>
        <w:rPr>
          <w:rFonts w:ascii="Times New Roman" w:hAnsi="Times New Roman"/>
          <w:color w:val="000000"/>
          <w:sz w:val="22"/>
        </w:rPr>
        <w:t>Amatu’l-Bahá Montreal, Canada 2–5 September 1982 Rú ḥíyyih Khánum Ugo Giachery Manila, Philippines 7–9 May 1982 Paul Haney Quito, Ecuador 6–8 August 1982 William Sears Lagos, Nigeria 19–22 August 1982 Collis Featherstone Dublin, Ireland 25–27 June 1982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289 Tests of Bahá’í Community Life— A Balanced Perspective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(1981-07-20)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