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1982-01-24</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313.1  The fiftieth anniversary of the ascension of Bahíyyih Khánum, eldest daughter of Bahá’u’lláh and designated by Him the Greatest Holy Leaf, will occur on 15 July of this year.  We summon the entire Bahá’í world to a befitting commemoration of the life of the greatest woman in the Bahá’í Dispensation.</w:t>
      </w:r>
    </w:p>
    <w:p>
      <w:pPr>
        <w:spacing w:before="0" w:after="160" w:line="276" w:lineRule="auto"/>
        <w:jc w:val="both"/>
      </w:pPr>
      <w:r>
        <w:rPr>
          <w:rFonts w:ascii="Times New Roman" w:hAnsi="Times New Roman"/>
          <w:color w:val="000000"/>
          <w:sz w:val="22"/>
        </w:rPr>
        <w:t>313.2  National Spiritual Assemblies are requested to arrange national commemorative services, and to ensure that all local communities hold befitting meetings.  These services should be held on the date of the anniversary or on the weekend immediately following it, and in those countries where Mashriqu’l-Adhkárs are in existence, they should be held in the Temple. 313.3 In order to provide for your arrangement of the services, we have requested our Research Department to compile a bibliography of references to the Greatest Holy Leaf in Bahá’í literature in English, and this is enclosed for your use.  In addition the book announced in our message of March 1981 is now at press, and will be available by the time of the commemoration.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414Some References to the Greatest Holy Leaf Found in published works 313.4 Bahá’u’lláh and ‘Abdu’l-Bahá, Tablets Revealed in Honor of the Greatest Holy Leaf (New York: National Spiritual Assembly of the Bahá’ís of the United States and Canada, 1933). 313.5 Shoghi Effendi:</w:t>
      </w:r>
    </w:p>
    <w:p>
      <w:pPr>
        <w:spacing w:before="0" w:after="160" w:line="276" w:lineRule="auto"/>
        <w:jc w:val="both"/>
      </w:pPr>
      <w:r>
        <w:rPr>
          <w:rFonts w:ascii="Times New Roman" w:hAnsi="Times New Roman"/>
          <w:color w:val="000000"/>
          <w:sz w:val="22"/>
        </w:rPr>
        <w:t>The Advent of Divine Justice  (Wilmette:  Bahá’í Publishing Trust, 1990), p. 37. Bahá’í Administration  (Wilmette:  Bahá’í Publishing Trust, 1974), pp. 25, 57, 70, 93, 187– 196.</w:t>
      </w:r>
    </w:p>
    <w:p>
      <w:pPr>
        <w:spacing w:before="0" w:after="160" w:line="276" w:lineRule="auto"/>
        <w:jc w:val="both"/>
      </w:pPr>
      <w:r>
        <w:rPr>
          <w:rFonts w:ascii="Times New Roman" w:hAnsi="Times New Roman"/>
          <w:color w:val="000000"/>
          <w:sz w:val="22"/>
        </w:rPr>
        <w:t>The Dawn-Breakers  (Wilmette:  Bahá’í Publishing Trust, 1974), dedication.</w:t>
      </w:r>
    </w:p>
    <w:p>
      <w:pPr>
        <w:spacing w:before="0" w:after="160" w:line="276" w:lineRule="auto"/>
        <w:jc w:val="both"/>
      </w:pPr>
      <w:r>
        <w:rPr>
          <w:rFonts w:ascii="Times New Roman" w:hAnsi="Times New Roman"/>
          <w:color w:val="000000"/>
          <w:sz w:val="22"/>
        </w:rPr>
        <w:t>God Passes By  (Wilmette:  Bahá’í Publishing Trust, 1974), pp. 108, 347, 350, 392. Guidance for Today and Tomorrow  (London:  Bahá’í Publishing Trust, 1973), pp. 58–71. Messages to America:  Selected Letters and Cablegrams Addressed to the Bahá’ís of North America 1932 –1946  (Wilmette:  Bahá’í Publishing Committee, 1947), pp. 1, 31, 37. Messages to the Bahá’í World  (Wilmette:  Bahá’í Publishing Trust, 1971), p. 74. The World Order of Bahá’u’lláh  (Wilmette:  Bahá’í Publishing Trust, 1991), pp. 67–68, 81– 82, 93–94, 98.</w:t>
      </w:r>
    </w:p>
    <w:p>
      <w:pPr>
        <w:spacing w:before="280" w:after="120"/>
        <w:jc w:val="left"/>
      </w:pPr>
      <w:r>
        <w:rPr>
          <w:rFonts w:ascii="Times New Roman" w:hAnsi="Times New Roman"/>
          <w:b/>
          <w:color w:val="000000"/>
          <w:sz w:val="22"/>
        </w:rPr>
        <w:t>313.6 Others:</w:t>
      </w:r>
    </w:p>
    <w:p>
      <w:pPr>
        <w:spacing w:before="0" w:after="160" w:line="276" w:lineRule="auto"/>
        <w:jc w:val="both"/>
      </w:pPr>
      <w:r>
        <w:rPr>
          <w:rFonts w:ascii="Times New Roman" w:hAnsi="Times New Roman"/>
          <w:color w:val="000000"/>
          <w:sz w:val="22"/>
        </w:rPr>
        <w:t>Balyuzi, H. M., ‘Abdu’l-Bahá, the Center of the Covenant of Bahá’u’lláh  (London:  George Ronald, 1971), pp. 12, 54–55, 74, 332, 401, 416, 454–455, 463–464, 482.</w:t>
      </w:r>
    </w:p>
    <w:p>
      <w:pPr>
        <w:spacing w:before="0" w:after="160" w:line="276" w:lineRule="auto"/>
        <w:jc w:val="both"/>
      </w:pPr>
      <w:r>
        <w:rPr>
          <w:rFonts w:ascii="Times New Roman" w:hAnsi="Times New Roman"/>
          <w:color w:val="000000"/>
          <w:sz w:val="22"/>
        </w:rPr>
        <w:t>Balyuzi, H. M., Edward Granville Browne and the Bahá’í Faith  (London:  George Ronald, 1970), pp. 119–220.</w:t>
      </w:r>
    </w:p>
    <w:p>
      <w:pPr>
        <w:spacing w:before="0" w:after="160" w:line="276" w:lineRule="auto"/>
        <w:jc w:val="both"/>
      </w:pPr>
      <w:r>
        <w:rPr>
          <w:rFonts w:ascii="Times New Roman" w:hAnsi="Times New Roman"/>
          <w:color w:val="000000"/>
          <w:sz w:val="22"/>
        </w:rPr>
        <w:t>Blomfield, Lady Sarah, The Chosen Highway  (Wilmette:  Bahá’í Publishing Trust, 1967), pp. 37–69, 73.</w:t>
      </w:r>
    </w:p>
    <w:p>
      <w:pPr>
        <w:spacing w:before="0" w:after="160" w:line="276" w:lineRule="auto"/>
        <w:jc w:val="both"/>
      </w:pPr>
      <w:r>
        <w:rPr>
          <w:rFonts w:ascii="Times New Roman" w:hAnsi="Times New Roman"/>
          <w:color w:val="000000"/>
          <w:sz w:val="22"/>
        </w:rPr>
        <w:t>Gail, Marzieh, Khánum:  the Greatest Holy Leaf as Remembered by Marzieh Gail (London: George Ronald, 1982).</w:t>
      </w:r>
    </w:p>
    <w:p>
      <w:pPr>
        <w:spacing w:before="0" w:after="160" w:line="276" w:lineRule="auto"/>
        <w:jc w:val="both"/>
      </w:pPr>
      <w:r>
        <w:rPr>
          <w:rFonts w:ascii="Times New Roman" w:hAnsi="Times New Roman"/>
          <w:color w:val="000000"/>
          <w:sz w:val="22"/>
        </w:rPr>
        <w:t>Maxwell, May, An Early Pilgrimage  (London:  George Ronald, 1969), pp. 18–19. Muhájir, Iran Furútan, comp., The Mystery of God  (London:  Bahá’í Publishing Trust, 1979), pp. 278–304.</w:t>
      </w:r>
    </w:p>
    <w:p>
      <w:pPr>
        <w:spacing w:before="0" w:after="160" w:line="276" w:lineRule="auto"/>
        <w:jc w:val="both"/>
      </w:pPr>
      <w:r>
        <w:rPr>
          <w:rFonts w:ascii="Times New Roman" w:hAnsi="Times New Roman"/>
          <w:color w:val="000000"/>
          <w:sz w:val="22"/>
        </w:rPr>
        <w:t>Rabbaní, Rúhíyyih, The Priceless Pearl  (London:  Bahá’í Publishing Trust, 1969), pp. 6–7, 10–11, 13–15, 21–22, 39, 44, 46–51, 57–58, 63, 90, 102–03, 112, 115, 129–30, 139–40, 144–48, 151–52, 168, 199, 218, 236, 259, 261–62, 266–67, 273, 279–80, 430, 438. Universal House of Justice, Bahá’í Holy Places at the World Centre  (Haifa:  Bahá’í World Centre, 1968), pp. 62–70.</w:t>
      </w:r>
    </w:p>
    <w:p>
      <w:pPr>
        <w:spacing w:before="280" w:after="120"/>
        <w:jc w:val="left"/>
      </w:pPr>
      <w:r>
        <w:rPr>
          <w:rFonts w:ascii="Times New Roman" w:hAnsi="Times New Roman"/>
          <w:b/>
          <w:color w:val="000000"/>
          <w:sz w:val="22"/>
        </w:rPr>
        <w:t>313.7 The Bahá’í World, an International Record</w:t>
      </w:r>
    </w:p>
    <w:p>
      <w:pPr>
        <w:spacing w:before="0" w:after="160" w:line="276" w:lineRule="auto"/>
        <w:jc w:val="both"/>
      </w:pPr>
      <w:r>
        <w:rPr>
          <w:rFonts w:ascii="Times New Roman" w:hAnsi="Times New Roman"/>
          <w:color w:val="000000"/>
          <w:sz w:val="22"/>
        </w:rPr>
        <w:t>vol. 2, 1926–1928, pp. 83, 132.</w:t>
      </w:r>
    </w:p>
    <w:p>
      <w:pPr>
        <w:spacing w:before="0" w:after="160" w:line="276" w:lineRule="auto"/>
        <w:jc w:val="both"/>
      </w:pPr>
      <w:r>
        <w:rPr>
          <w:rFonts w:ascii="Times New Roman" w:hAnsi="Times New Roman"/>
          <w:color w:val="000000"/>
          <w:sz w:val="22"/>
        </w:rPr>
        <w:t>vol. 3, 1928–1930, p. 64.</w:t>
      </w:r>
    </w:p>
    <w:p>
      <w:pPr>
        <w:spacing w:before="0" w:after="160" w:line="276" w:lineRule="auto"/>
        <w:jc w:val="both"/>
      </w:pPr>
      <w:r>
        <w:rPr>
          <w:rFonts w:ascii="Times New Roman" w:hAnsi="Times New Roman"/>
          <w:color w:val="000000"/>
          <w:sz w:val="22"/>
        </w:rPr>
        <w:t>vol. 5, 1932–1934, pp. 22–23, 114–15, 169–88.</w:t>
      </w:r>
    </w:p>
    <w:p>
      <w:pPr>
        <w:spacing w:before="0" w:after="160" w:line="276" w:lineRule="auto"/>
        <w:jc w:val="both"/>
      </w:pPr>
      <w:r>
        <w:rPr>
          <w:rFonts w:ascii="Times New Roman" w:hAnsi="Times New Roman"/>
          <w:color w:val="000000"/>
          <w:sz w:val="22"/>
        </w:rPr>
        <w:t>vol. 8, 1938–1940, pp. 5, 8, 206, 255–56, 262, 266.</w:t>
      </w:r>
    </w:p>
    <w:p>
      <w:pPr>
        <w:spacing w:before="0" w:after="160" w:line="276" w:lineRule="auto"/>
        <w:jc w:val="both"/>
      </w:pPr>
      <w:r>
        <w:rPr>
          <w:rFonts w:ascii="Times New Roman" w:hAnsi="Times New Roman"/>
          <w:color w:val="000000"/>
          <w:sz w:val="22"/>
        </w:rPr>
        <w:t>vol. 9, 1940–1944, p. 329.</w:t>
      </w:r>
    </w:p>
    <w:p>
      <w:pPr>
        <w:spacing w:before="0" w:after="160" w:line="276" w:lineRule="auto"/>
        <w:jc w:val="both"/>
      </w:pPr>
      <w:r>
        <w:rPr>
          <w:rFonts w:ascii="Times New Roman" w:hAnsi="Times New Roman"/>
          <w:color w:val="000000"/>
          <w:sz w:val="22"/>
        </w:rPr>
        <w:t>415vol. 10, 1944–1946, p. 536.</w:t>
      </w:r>
    </w:p>
    <w:p>
      <w:pPr>
        <w:spacing w:before="0" w:after="160" w:line="276" w:lineRule="auto"/>
        <w:jc w:val="both"/>
      </w:pPr>
      <w:r>
        <w:rPr>
          <w:rFonts w:ascii="Times New Roman" w:hAnsi="Times New Roman"/>
          <w:color w:val="000000"/>
          <w:sz w:val="22"/>
        </w:rPr>
        <w:t>vol. 11, 1946–1950, pp. 474, 492.</w:t>
      </w:r>
    </w:p>
    <w:p>
      <w:pPr>
        <w:spacing w:before="0" w:after="160" w:line="276" w:lineRule="auto"/>
        <w:jc w:val="both"/>
      </w:pPr>
      <w:r>
        <w:rPr>
          <w:rFonts w:ascii="Times New Roman" w:hAnsi="Times New Roman"/>
          <w:color w:val="000000"/>
          <w:sz w:val="22"/>
        </w:rPr>
        <w:t>vol. 16, 1973–1976, pp. 54, 66, 73.</w:t>
      </w:r>
    </w:p>
    <w:p>
      <w:pPr>
        <w:spacing w:before="0" w:after="160" w:line="276" w:lineRule="auto"/>
        <w:jc w:val="both"/>
      </w:pPr>
      <w:r>
        <w:rPr>
          <w:rFonts w:ascii="Times New Roman" w:hAnsi="Times New Roman"/>
          <w:color w:val="000000"/>
          <w:sz w:val="22"/>
        </w:rPr>
        <w:t>313.8 Bahá’í News , published by the National Spiritual Assembly of the Bahá’ís of the United States no. 18, June 1927, p. 5.</w:t>
      </w:r>
    </w:p>
    <w:p>
      <w:pPr>
        <w:spacing w:before="0" w:after="160" w:line="276" w:lineRule="auto"/>
        <w:jc w:val="both"/>
      </w:pPr>
      <w:r>
        <w:rPr>
          <w:rFonts w:ascii="Times New Roman" w:hAnsi="Times New Roman"/>
          <w:color w:val="000000"/>
          <w:sz w:val="22"/>
        </w:rPr>
        <w:t>no. 36, December 1929, p. 1.</w:t>
      </w:r>
    </w:p>
    <w:p>
      <w:pPr>
        <w:spacing w:before="0" w:after="160" w:line="276" w:lineRule="auto"/>
        <w:jc w:val="both"/>
      </w:pPr>
      <w:r>
        <w:rPr>
          <w:rFonts w:ascii="Times New Roman" w:hAnsi="Times New Roman"/>
          <w:color w:val="000000"/>
          <w:sz w:val="22"/>
        </w:rPr>
        <w:t>no. 52, May 1931, pp. 1–2.</w:t>
      </w:r>
    </w:p>
    <w:p>
      <w:pPr>
        <w:spacing w:before="0" w:after="160" w:line="276" w:lineRule="auto"/>
        <w:jc w:val="both"/>
      </w:pPr>
      <w:r>
        <w:rPr>
          <w:rFonts w:ascii="Times New Roman" w:hAnsi="Times New Roman"/>
          <w:color w:val="000000"/>
          <w:sz w:val="22"/>
        </w:rPr>
        <w:t>no. 62, May 1932, p. 2.</w:t>
      </w:r>
    </w:p>
    <w:p>
      <w:pPr>
        <w:spacing w:before="0" w:after="160" w:line="276" w:lineRule="auto"/>
        <w:jc w:val="both"/>
      </w:pPr>
      <w:r>
        <w:rPr>
          <w:rFonts w:ascii="Times New Roman" w:hAnsi="Times New Roman"/>
          <w:color w:val="000000"/>
          <w:sz w:val="22"/>
        </w:rPr>
        <w:t>no. 65, August 1932, pp. 1–2.</w:t>
      </w:r>
    </w:p>
    <w:p>
      <w:pPr>
        <w:spacing w:before="0" w:after="160" w:line="276" w:lineRule="auto"/>
        <w:jc w:val="both"/>
      </w:pPr>
      <w:r>
        <w:rPr>
          <w:rFonts w:ascii="Times New Roman" w:hAnsi="Times New Roman"/>
          <w:color w:val="000000"/>
          <w:sz w:val="22"/>
        </w:rPr>
        <w:t>no. 66, September 1932, p. 1.</w:t>
      </w:r>
    </w:p>
    <w:p>
      <w:pPr>
        <w:spacing w:before="0" w:after="160" w:line="276" w:lineRule="auto"/>
        <w:jc w:val="both"/>
      </w:pPr>
      <w:r>
        <w:rPr>
          <w:rFonts w:ascii="Times New Roman" w:hAnsi="Times New Roman"/>
          <w:color w:val="000000"/>
          <w:sz w:val="22"/>
        </w:rPr>
        <w:t>no. 72, March 1933, p. 3.</w:t>
      </w:r>
    </w:p>
    <w:p>
      <w:pPr>
        <w:spacing w:before="0" w:after="160" w:line="276" w:lineRule="auto"/>
        <w:jc w:val="both"/>
      </w:pPr>
      <w:r>
        <w:rPr>
          <w:rFonts w:ascii="Times New Roman" w:hAnsi="Times New Roman"/>
          <w:color w:val="000000"/>
          <w:sz w:val="22"/>
        </w:rPr>
        <w:t>no. 121, December 1938, p. 3.</w:t>
      </w:r>
    </w:p>
    <w:p>
      <w:pPr>
        <w:spacing w:before="0" w:after="160" w:line="276" w:lineRule="auto"/>
        <w:jc w:val="both"/>
      </w:pPr>
      <w:r>
        <w:rPr>
          <w:rFonts w:ascii="Times New Roman" w:hAnsi="Times New Roman"/>
          <w:color w:val="000000"/>
          <w:sz w:val="22"/>
        </w:rPr>
        <w:t>no. 124, April 1939, p. 1.</w:t>
      </w:r>
    </w:p>
    <w:p>
      <w:pPr>
        <w:spacing w:before="0" w:after="160" w:line="276" w:lineRule="auto"/>
        <w:jc w:val="both"/>
      </w:pPr>
      <w:r>
        <w:rPr>
          <w:rFonts w:ascii="Times New Roman" w:hAnsi="Times New Roman"/>
          <w:color w:val="000000"/>
          <w:sz w:val="22"/>
        </w:rPr>
        <w:t>no. 128, August 1939, p. 4.</w:t>
      </w:r>
    </w:p>
    <w:p>
      <w:pPr>
        <w:spacing w:before="0" w:after="160" w:line="276" w:lineRule="auto"/>
        <w:jc w:val="both"/>
      </w:pPr>
      <w:r>
        <w:rPr>
          <w:rFonts w:ascii="Times New Roman" w:hAnsi="Times New Roman"/>
          <w:color w:val="000000"/>
          <w:sz w:val="22"/>
        </w:rPr>
        <w:t>no. 133, February 1940, p. 1.</w:t>
      </w:r>
    </w:p>
    <w:p>
      <w:pPr>
        <w:spacing w:before="0" w:after="160" w:line="276" w:lineRule="auto"/>
        <w:jc w:val="both"/>
      </w:pPr>
      <w:r>
        <w:rPr>
          <w:rFonts w:ascii="Times New Roman" w:hAnsi="Times New Roman"/>
          <w:color w:val="000000"/>
          <w:sz w:val="22"/>
        </w:rPr>
        <w:t>no. 135, April 1940, insert 313.9 Star of the West  (Chicago:  Bahá’í News Service)</w:t>
      </w:r>
    </w:p>
    <w:p>
      <w:pPr>
        <w:spacing w:before="0" w:after="160" w:line="276" w:lineRule="auto"/>
        <w:jc w:val="both"/>
      </w:pPr>
      <w:r>
        <w:rPr>
          <w:rFonts w:ascii="Times New Roman" w:hAnsi="Times New Roman"/>
          <w:color w:val="000000"/>
          <w:sz w:val="22"/>
        </w:rPr>
        <w:t>vol. 10, no. 17, pp. 312–14.</w:t>
      </w:r>
    </w:p>
    <w:p>
      <w:pPr>
        <w:spacing w:before="0" w:after="160" w:line="276" w:lineRule="auto"/>
        <w:jc w:val="both"/>
      </w:pPr>
      <w:r>
        <w:rPr>
          <w:rFonts w:ascii="Times New Roman" w:hAnsi="Times New Roman"/>
          <w:color w:val="000000"/>
          <w:sz w:val="22"/>
        </w:rPr>
        <w:t>vol. 12, no. 10, pp. 163–67; no. 11, pp. 186–88; no. 13, pp. 211–14; no. 15, 245; no. 19, pp. 302–03.</w:t>
      </w:r>
    </w:p>
    <w:p>
      <w:pPr>
        <w:spacing w:before="0" w:after="160" w:line="276" w:lineRule="auto"/>
        <w:jc w:val="both"/>
      </w:pPr>
      <w:r>
        <w:rPr>
          <w:rFonts w:ascii="Times New Roman" w:hAnsi="Times New Roman"/>
          <w:color w:val="000000"/>
          <w:sz w:val="22"/>
        </w:rPr>
        <w:t>vo1. 13, no. 4, pp. 68–69, 82–83, 88; no. 8, pp. 207–10, 219–20; no. 11, p. 314. vol. 17, no. 8, pp. 256–60.</w:t>
      </w:r>
    </w:p>
    <w:p>
      <w:pPr>
        <w:spacing w:before="0" w:after="160" w:line="276" w:lineRule="auto"/>
        <w:jc w:val="both"/>
      </w:pPr>
      <w:r>
        <w:rPr>
          <w:rFonts w:ascii="Times New Roman" w:hAnsi="Times New Roman"/>
          <w:color w:val="000000"/>
          <w:sz w:val="22"/>
        </w:rPr>
        <w:t>vol. 18, no. 9, pp. 278–82.</w:t>
      </w:r>
    </w:p>
    <w:p>
      <w:pPr>
        <w:spacing w:before="0" w:after="160" w:line="276" w:lineRule="auto"/>
        <w:jc w:val="both"/>
      </w:pPr>
      <w:r>
        <w:rPr>
          <w:rFonts w:ascii="Times New Roman" w:hAnsi="Times New Roman"/>
          <w:color w:val="000000"/>
          <w:sz w:val="22"/>
        </w:rPr>
        <w:t>vol. 20, no. 1, p. 18; no. 4, p. 104.</w:t>
      </w:r>
    </w:p>
    <w:p>
      <w:pPr>
        <w:spacing w:before="0" w:after="160" w:line="276" w:lineRule="auto"/>
        <w:jc w:val="both"/>
      </w:pPr>
      <w:r>
        <w:rPr>
          <w:rFonts w:ascii="Times New Roman" w:hAnsi="Times New Roman"/>
          <w:color w:val="000000"/>
          <w:sz w:val="22"/>
        </w:rPr>
        <w:t>vol. 23, no. 5, p. 134; no. 7, pp. 202–04; no. 12, pp. 374–77.</w:t>
      </w:r>
    </w:p>
    <w:p>
      <w:pPr>
        <w:spacing w:before="0" w:after="160" w:line="276" w:lineRule="auto"/>
        <w:jc w:val="both"/>
      </w:pPr>
      <w:r>
        <w:rPr>
          <w:rFonts w:ascii="Times New Roman" w:hAnsi="Times New Roman"/>
          <w:color w:val="000000"/>
          <w:sz w:val="22"/>
        </w:rPr>
        <w:t>vol. 24, no. 1, pp. 18–20; no. 3, pp. 90–93.</w:t>
      </w:r>
    </w:p>
    <w:p>
      <w:pPr>
        <w:spacing w:before="0" w:after="160" w:line="276" w:lineRule="auto"/>
        <w:jc w:val="both"/>
      </w:pPr>
      <w:r>
        <w:rPr>
          <w:rFonts w:ascii="Times New Roman" w:hAnsi="Times New Roman"/>
          <w:color w:val="000000"/>
          <w:sz w:val="22"/>
        </w:rPr>
        <w:t>vol. 25, no. 4, pp. 118–22 (Many of these references are accounts of early pilgrimages, and give only a brief mention of the Greatest Holy Leaf) 416314 Golden Opportunity Offered by Reign of Relentless Terror; Actions Taken to Defend the Bahá’ís of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(1982-01-24)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