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1982-02-18</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316.1 Many of the National Spiritual Assemblies have been given a specific goal, during the second phase of the Seven Year Plan, to organize programs for the development of family life and to nurture in the friends a deeper understanding of the nature of an institution which is at the very base of Bahá’í society.  In order to help the friends everywhere to strengthen and enrich their family ties, and enable the family unit to reflect the glory of the Words of God, the Universal House of Justice asked its Research Department to prepare a compilation of suitable texts on this subject.</w:t>
      </w:r>
    </w:p>
    <w:p>
      <w:pPr>
        <w:spacing w:before="280" w:after="120"/>
        <w:jc w:val="left"/>
      </w:pPr>
      <w:r>
        <w:rPr>
          <w:rFonts w:ascii="Times New Roman" w:hAnsi="Times New Roman"/>
          <w:b/>
          <w:color w:val="000000"/>
          <w:sz w:val="22"/>
        </w:rPr>
        <w:t>316.2 The compilation is now ready and a copy is attached.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(1982-02-18)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