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321.1 Triumphs of inestimable portent for the unfoldment of the Cause of God, many of them resulting directly from the steadfast heroism of the beloved Persians in face of the savage persecutions meted out to them, have characterized the year just ending.  The effect of these developments is to offer such golden opportunities for teaching and further proclamation as can only lead, if vigorously and enthusiastically seized, to large-scale conversion and an increasing prestige.</w:t>
      </w:r>
    </w:p>
    <w:p>
      <w:pPr>
        <w:spacing w:before="0" w:after="160" w:line="276" w:lineRule="auto"/>
        <w:jc w:val="both"/>
      </w:pPr>
      <w:r>
        <w:rPr>
          <w:rFonts w:ascii="Times New Roman" w:hAnsi="Times New Roman"/>
          <w:color w:val="000000"/>
          <w:sz w:val="22"/>
        </w:rPr>
        <w:t>Notable Achievements 321.2 Heartwarming progress in the construction of the Indian and Western Samoan Mashriqu’l- Adhkárs, the opening of the second Bahá’í radio station of Latin America in Peru, the establishment of the European office of the Bahá’í International Community in Geneva, steady advances in the second phase of the Seven Year Plan, encouraging expansion of the systematized Bahá’í education of children, sacrifice and generous outpouring of funds from a growing number 426of friends, all testify to the abundant confirmations with which Bahá’u’lláh rewards the dedicated efforts of His loved ones throughout the world.  The worldwide attention accorded the Faith in the media, which has opened wide the doors of mass proclamation of the divine Message, and the sympathetic discussion of it in the highest councils of mankind with the resulting actions taken by sovereign governments and international authorities, are unprecedented in Bahá’í history.</w:t>
      </w:r>
    </w:p>
    <w:p>
      <w:pPr>
        <w:spacing w:before="0" w:after="160" w:line="276" w:lineRule="auto"/>
        <w:jc w:val="both"/>
      </w:pPr>
      <w:r>
        <w:rPr>
          <w:rFonts w:ascii="Times New Roman" w:hAnsi="Times New Roman"/>
          <w:color w:val="000000"/>
          <w:sz w:val="22"/>
        </w:rPr>
        <w:t>A Year Rich in Bahá’í Occasions 321.3  All this, dear friends, augurs well for the coming year which is rich in Bahá’í occasions.  The fiftieth anniversary of the passing of the Greatest Holy Leaf will be commemorated at the five International Conferences and by the publication of a book, compiled at the World Center, comprising texts about her and some hundred of her own letters; the move to the permanent Seat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(1982-04-21)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