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1982-12-05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346.1 WITH STRICKEN HEARTS ANNOUNCE SUDDEN IRREPARABLE LOSS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AUTOMOBILE ACCIDENT 3 DECEMBER HIGHLY DISTINGUISHED GREATLY PRIZED HAND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CAUSE GOD STAUNCH DEFENDER COVENANT PAUL HANEY.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346.2 THIS DISTINGUISHED SERVANT BAHÁ’U’LLÁH WAS BLESSED CHILDHOOD THROUGH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ATTAINMENT PRESENCE ‘ABDU’L-BAHÁ.  HIS NATURAL GENTLENESS, GENUINE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HUMILITY, UNAFFECTED UNBOUNDED LOVE, HIS UPRIGHTNESS, INTEGRITY HIS SINGLE- MINDED DEVOTION CAUSE SINCE YOUTHFUL YEARS, HIS UNFAILING RELIABILITY,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METICULOUS ATTENTION DETAIL, CHARACTERIZED HIS HISTORIC SERVICES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AND INTERNATIONAL LEVELS.  SPANNING MORE THAN HALF CENTURY 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TIRELESS LABORS INCLUDED LONGTIME MEMBERSHIP AMERICAN NATIONAL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ASSEMBLY.  SINCE 1954 HE CONSECRATED HIS ENERGIES AS MEMBER UNIQUE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COMPANY CHIEF STEWARDS FAITH AND LATER AS MEMBER BODY HANDS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451RESIDING HOLY LAND AT ONE OF MOST CRITICAL PERIODS BAHÁ’Í HISTORY.  LAST DECADE HIS EARTHLY LIFE WAS FULLY DEDICATED DEVELOPMENT NEWLY FORMED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TEACHING CENTER.  GENERATIONS YET UNBORN WILL GLORY IN 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IMPERISHABLE ACHIEVEMENTS AND BE INSPIRED BY HIS UNIQUE FORTITUDE.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346.3  ARDENTLY SUPPLICATING HOLY THRESHOLD PROGRESS HIS NOBLE SOUL ABHÁ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KINGDOM.  ADVISE HOLD THROUGHOUT BAHÁ’Í WORLD INCLUDING ALL MASHRIQU’L-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ADHKÁRS MEMORIAL GATHERINGS BEFITTING HIS HIGH RANK AND HIS MERITORIOUS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SERVICES.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347 Imprisonment of More Than Eighty Bahá’ís in Shiraz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(1982-12-05)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