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1983-01-13</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assigned to all National Assemblies to pursue a program of spiritual enrichment designed to inspire and enlighten the friends regarding the Bahá’í way of life, the Research Department has prepared a compilation from the Writings of Bahá’u’lláh, ‘Abdu’l-Bahá and Shoghi Effendi on the importance of deepening our knowledge and understanding of the Faith.</w:t>
      </w:r>
    </w:p>
    <w:p>
      <w:pPr>
        <w:spacing w:before="0" w:after="160" w:line="276" w:lineRule="auto"/>
        <w:jc w:val="both"/>
      </w:pPr>
      <w:r>
        <w:rPr>
          <w:rFonts w:ascii="Times New Roman" w:hAnsi="Times New Roman"/>
          <w:color w:val="000000"/>
          <w:sz w:val="22"/>
        </w:rPr>
        <w:t>353.2  It is hoped that the loving exhortations and guidelines given in these passages will kindle in the hearts of the believers a spark of longing to delve more deeply into the rich mine of the Writings of the Faith.  Such efforts will undoubtedly be abundantly rewarded as the friends attain increased spirituality and understanding, aim at acquiring greater perfection, draw nearer to attracting the good pleasure of their Lord, and seek to become more effective promoters of the Cause of God.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(1983-01-13)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