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1983-09-01</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375.1 On several occasions there has been correspondence between your Assembly and the Universal House of Justice on meditation and kindred subjects.  The House of Justice is aware that such matters have been a cause of differences of opinion among the Norwegian Bahá’ís.  It has now come to the attention of the House of Justice that there was a session of group meditation of a particular kind at your summer school under the aegis of the National Teaching Committee.  We have, therefore, been instructed to send you the following comments which, it is hoped, will help to resolve this long-standing problem.</w:t>
      </w:r>
    </w:p>
    <w:p>
      <w:pPr>
        <w:spacing w:before="0" w:after="160" w:line="276" w:lineRule="auto"/>
        <w:jc w:val="both"/>
      </w:pPr>
      <w:r>
        <w:rPr>
          <w:rFonts w:ascii="Times New Roman" w:hAnsi="Times New Roman"/>
          <w:color w:val="000000"/>
          <w:sz w:val="22"/>
        </w:rPr>
        <w:t>Spiritualization of the Bahá’í Community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Bahá'ís of</dc:title>
  <dc:subject>Bahá'í Guidance (1983-09-01)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