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1983-09-07</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376.1 As you are probably aware, 1985 has been designated by the United Nations as International Youth Year, and the Bahá’í International Community is taking preliminary steps to set up a program for the involvement of the worldwide Bahá’í community in this event, in close cooperation with the United Nations and its agencies, such as UNICEF.  The purpose of this letter is to request your National Assembly to determine how the Bahá’í youth in your country can, to the extent practicable, participate in general youth activities which are being proposed by the United Nations for International Youth Year, as well as in specific Bahá’í projects of service to the local community or to the country as a whole.</w:t>
      </w:r>
    </w:p>
    <w:p>
      <w:pPr>
        <w:spacing w:before="0" w:after="160" w:line="276" w:lineRule="auto"/>
        <w:jc w:val="both"/>
      </w:pPr>
      <w:r>
        <w:rPr>
          <w:rFonts w:ascii="Times New Roman" w:hAnsi="Times New Roman"/>
          <w:color w:val="000000"/>
          <w:sz w:val="22"/>
        </w:rPr>
        <w:t>376.2        Your National Spiritual Assembly should be alert as to whether your government is making any plans to observe International Youth Year, and if so, you should consider the steps you could take in setting up or participating in projects associated with this event.  Such activities should be planned, of course, in consultation with the Bahá’í International Community, which is coordinating and monitoring such efforts.  Participation of this kind by the Bahá’í youth would not only add to the prestige of the Faith and demonstrate its humanitarian character, but would also act as a rallying point for the youth, strengthening them in their role in the Faith and training them to organize themselves for future services to this blessed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(1983-09-07)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