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1983-11-07</w:t>
      </w:r>
    </w:p>
    <w:p>
      <w:pPr>
        <w:spacing w:before="0" w:after="360"/>
        <w:jc w:val="left"/>
      </w:pPr>
      <w:r>
        <w:rPr>
          <w:rFonts w:ascii="Times New Roman" w:hAnsi="Times New Roman"/>
          <w:b w:val="0"/>
          <w:color w:val="000000"/>
          <w:sz w:val="22"/>
        </w:rPr>
        <w:t>To all National Spiritual Assemblies</w:t>
      </w:r>
    </w:p>
    <w:p>
      <w:pPr>
        <w:spacing w:before="0" w:after="180"/>
        <w:jc w:val="left"/>
      </w:pPr>
      <w:r>
        <w:rPr>
          <w:rFonts w:ascii="Times New Roman" w:hAnsi="Times New Roman"/>
          <w:b w:val="0"/>
          <w:color w:val="000000"/>
          <w:sz w:val="22"/>
        </w:rPr>
        <w:t>Dear Bahá’í Friends,</w:t>
      </w:r>
    </w:p>
    <w:p>
      <w:pPr>
        <w:spacing w:before="0" w:after="160" w:line="276" w:lineRule="auto"/>
        <w:jc w:val="both"/>
      </w:pPr>
      <w:r>
        <w:rPr>
          <w:rFonts w:ascii="Times New Roman" w:hAnsi="Times New Roman"/>
          <w:color w:val="000000"/>
          <w:sz w:val="22"/>
        </w:rPr>
        <w:t>381.1 Recent events in Iran following the banning of the Bahá’í administration indicate, unfortunately, the continuation of intense pressures against the defenseless Bahá’í community in that country.  Many of these pressures are being exerted by the authorities in the hope that the Bahá’ís will recant their faith and trade their love of Bahá’u’lláh for the comfort and security which the authorities offer to them in exchange.</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all National Spiritual Assemblies</dc:title>
  <dc:subject>Bahá'í Guidance (1983-11-07)</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