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1985-07-04</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compilation of texts on the subject of Ḥuqúqu’lláh.  A copy of this compilation is attached for your information.  You may share its contents with the friends under your jurisdiction as you see fit.</w:t>
      </w:r>
    </w:p>
    <w:p>
      <w:pPr>
        <w:spacing w:before="0" w:after="160" w:line="276" w:lineRule="auto"/>
        <w:jc w:val="both"/>
      </w:pPr>
      <w:r>
        <w:rPr>
          <w:rFonts w:ascii="Times New Roman" w:hAnsi="Times New Roman"/>
          <w:color w:val="000000"/>
          <w:sz w:val="22"/>
        </w:rPr>
        <w:t>430.2 As you are aware, the law of Ḥuqúqu’lláh is not applicable universally.  Study of these extracts by the friends in communities where this law is not yet binding will help them to prepare themselves for the day when the House of Justice will decide to apply the law progressively to all communities in the Bahá’í World.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539431 Message to International Youth Conference, Columbus, Ohio</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(1985-07-04)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