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1986-01-02</w:t>
      </w:r>
    </w:p>
    <w:p>
      <w:pPr>
        <w:spacing w:before="0" w:after="160" w:line="276" w:lineRule="auto"/>
        <w:jc w:val="both"/>
      </w:pPr>
      <w:r>
        <w:rPr>
          <w:rFonts w:ascii="Times New Roman" w:hAnsi="Times New Roman"/>
          <w:color w:val="000000"/>
          <w:sz w:val="22"/>
        </w:rPr>
        <w:t>The Bahá’ís of the World Dearly loved Friends, 447.1 The eager expectation with which we welcomed to the World Center, on 27 December, sixty- four Counselors from the five continents to discuss, with the International Teaching Center, the challenges and opportunities facing the Bahá’í world community, has, at the conclusion of their historic conference, been transmuted into feelings of deepest joy, gratitude and love. 447.2 Graced by the presence of the Hands of the Cause Amatu’l-Bahá Rú ḥíyyih Khánum, Ugo Giachery, ‘Alí-Akbar Furútan, ‘Alí-Mu ḥammad Varqá and Collis Featherstone, the Conference was organized and managed with admirable foresight and efficiency by the International Teaching Center, whose individual members watched over and served untiringly the needs of the participants and the progress of the Conference itself.</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Bahá'ís of the World Dearly loved Friends</dc:title>
  <dc:subject>Bahá'í Guidance (1986-01-02)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