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1986-02-05</w:t>
      </w:r>
    </w:p>
    <w:p>
      <w:pPr>
        <w:spacing w:before="0" w:after="360"/>
        <w:jc w:val="left"/>
      </w:pPr>
      <w:r>
        <w:rPr>
          <w:rFonts w:ascii="Times New Roman" w:hAnsi="Times New Roman"/>
          <w:b w:val="0"/>
          <w:color w:val="000000"/>
          <w:sz w:val="22"/>
        </w:rPr>
        <w:t>To all National Spiritual Assemblies</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the World, reference was made to the inception of the fourth epoch of the Formative Age.  In response to questions subsequently put to the House of Justice about the periods related to the earlier epochs of that Age, the Research Department was requested to prepare a statement on the subject.  This has now been presented, and a copy is enclosed.</w:t>
      </w:r>
    </w:p>
    <w:p>
      <w:pPr>
        <w:spacing w:before="0" w:after="160" w:line="276" w:lineRule="auto"/>
        <w:jc w:val="both"/>
      </w:pPr>
      <w:r>
        <w:rPr>
          <w:rFonts w:ascii="Times New Roman" w:hAnsi="Times New Roman"/>
          <w:color w:val="000000"/>
          <w:sz w:val="22"/>
        </w:rPr>
        <w:t>451.2 Kindly share this material of topical interest with the friends, as you deem fit, so that it may be studied in their deepening classes, summer schools, conferences and similar gatherings. With loving Bahá’í greetings, Department of the Secretariat The Epochs of the Formative Age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c:title>
  <dc:subject>Bahá'í Guidance (1986-02-05)</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