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1986-04-21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456.1 The Divine Springtime is fast advancing and all the atoms of the earth are responding to the vibrating influence of Bahá’u’lláh’s Revelation.  The evidences of this new life are clearly apparent in the progress of the Cause of God.  As we contemplate, however momentarily, the unfolding pattern of its growth, we can but recognize, with wonder and gratitude, the irresistible power of that Almighty Hand which guides its destinies.</w:t>
      </w:r>
    </w:p>
    <w:p>
      <w:pPr>
        <w:spacing w:before="0" w:after="160" w:line="276" w:lineRule="auto"/>
        <w:jc w:val="both"/>
      </w:pPr>
      <w:r>
        <w:rPr>
          <w:rFonts w:ascii="Times New Roman" w:hAnsi="Times New Roman"/>
          <w:color w:val="000000"/>
          <w:sz w:val="22"/>
        </w:rPr>
        <w:t>Review of Notable Achievements during the Seven Year Plan 456.2 This progress has accelerated notably during the Seven Year Plan, witnessed by the achievement of many important enterprises throughout the Bahá’í world and vital developments at the heart of the Cause itself.  The restoration and opening to pilgrimage of the southern wing of the House of ‘Abdu’lláh Páshá; the completion and occupation of the Seat of the Universal House of Justice; the approval of detailed plans for the remaining edifices around the Arc; the expansion of the membership and responsibilities of the International Teaching Center and the Continental Boards of Counselors; the establishment of the offices of Social and Economic Development, and of Public Information; the dedication of the Mother Temple of the Pacific, and dramatic progress with the building of the Temple in India; the expansion of the teaching work throughout the world, resulting in the formation of twenty-three new National Spiritual Assemblies, nearly 8,000 new Local Spiritual Assemblies, the opening of more than 16,000 new localities and representation within the Bahá’í community of 300 new tribes; the issuing of 2,196 new publications, 898 of which are editions of the Holy Text and the enrichment of Bahá’í literature by productions in 114 new languages; the initiation of 737 new social and economic development projects; the addition of three radio stations, with three more soon to be inaugurated—these stand out as conspicuous achievements in a Plan which will be remembered as having set the seal on the third epoch of the Formative Age.</w:t>
      </w:r>
    </w:p>
    <w:p>
      <w:pPr>
        <w:spacing w:before="0" w:after="160" w:line="276" w:lineRule="auto"/>
        <w:jc w:val="both"/>
      </w:pPr>
      <w:r>
        <w:rPr>
          <w:rFonts w:ascii="Times New Roman" w:hAnsi="Times New Roman"/>
          <w:color w:val="000000"/>
          <w:sz w:val="22"/>
        </w:rPr>
        <w:t>Emergence from Obscurity 456.3 The opening of that Plan coincided with the recrudescence of savage persecution of the Bahá’í community in Iran, a deliberate effort to eliminate the Cause of God from the land of its birth.  The heroic steadfastness of the Persian friends has been the mainspring of tremendous international attention focused on the Cause, eventually bringing it to the agenda of the General Assembly of the United Nations, and, together with worldwide publicity in all the media, accomplishing its emergence from the obscurity which characterized and sheltered the first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(1986-04-21)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