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1987-03-09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1987 in which you inquire about the role of the individual in interpretation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writings: specifically whether given the existence of interpretations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master and the guardian of passages from the writings, there remains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room for personal interpretations of these same texts. we are instructed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convey the following points in reply.16.1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27The interpretations of ‘Abdu’l-b ahá and the guardian are divinely guided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statements of what the word of god means and as such these interpreta-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are binding on the friends. however, the existence of authoritative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interpretations in no way precludes the individual from engaging in his own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study of the teachings and thereby arriving at his own interpretation or understanding. indeed, bahá’u’lláh invites the believers to “immerse” them-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selves in the “ocean” of his “words,” that they “may unravel its secrets,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discover all the pearls of wisdom that lie hid in its depths.”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far from knowledge being limited, bahá’u’lláh quotes the muslim tradi-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that “every knowledge hath seventy meanings,” and asserts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“meaning” of the word of god “can never be exhausted.”17-2 This potential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richness of meaning is underlined by the provision whereby future guard-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ians, while not abrogating the “interpretations of former guardians,”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“elaborate and elucidate former interpretations,” as set out in the extract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a letter dated 19 february 1947 which was written on behalf of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effendi to an individual believer: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regarding future guardians: they cannot “abrogate” the interpreta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of former guardians, as this would imply not only lack of guidance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mistakes in making them; however they can elaborate and elucidate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former interpretations, and can certainly abrogate some former ruling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laid down as a temporary necessity by a former guardian.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interpretations based on a person’s understanding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constitute the fruit of man’s rational power and may well contrib-ute to a more complete understanding of the faith. Such views, however,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lack authority. The believers are, therefore, free to accept or disregard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further, the manner in which an individual presents his interpretation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important. for example, he must at no time deny or contend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authoritative interpretation, but rather offer his idea as a contribution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knowledge, making it clear that his views are merely his own.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17-1. kA, ¶182.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17-2. ki, ¶283; gwb, no. 89.1.17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17 .3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 .3a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17 .4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2818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Avoiding Partisan Politics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Promoting the Lesser Peace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(1987-03-09)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