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1987-05-14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pioneer goals, which represents the minimum need for pioneers to settle within the next two years of the Six year plan. The goals for the eastern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european countries and the uSSr are envisioned to cover the entire period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 lan.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formulated in consultation with the international Teaching center,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pioneer call has taken into consideration the requests for pioneers set forth by National Spiritual Assemblies. As the bahá’í community grows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matures, its needs become more specialized and this call reflects the degree to which pioneers are needed for specific regions and to perform specific functions once they arrive at their posts.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while the settling of international pioneers is imperative, the house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justice also wishes to emphasize the importance of homefront pioneering,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which, in the majority of countries, is one of the most effective means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promoting and consolidating the cause. you should feel free to seek assis-23.10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24.3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52tance from the continental boards of counselors, other National Spiritual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Assemblies, and the continental pioneer committees towards the realiza-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your pioneer goals.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sacrificial services rendered by both international and homefront pioneers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world. it looks forward to seeing the results of further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achievements in the pioneering field and will offer prayers in the holy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Shrines for the successful fulfillment of these sacred responsibilities.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of Local Spiritual Assemblies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(1987-05-14)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