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1987-06-28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letter of 25 may 1987 concerning mr. . . . has been received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 ouse of j ustice, which has directed us to reply as follows.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considering the status of believers such as mr. . . . , it is necessary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review the requirements for membership in the bahá’í community.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basic considerations are set out by the g uardian in his statement: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i would only venture to state very briefly and as adequately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present circumstances permit the principal factors that must be taken into consideration before deciding whether a person may be regarded a true believer or not. f ull recognition of the station of the f orerunner,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Author, and the T rue exemplar of the bahá’í cause, as set forth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‘Abdu’l-b ahá’s Testament; unreserved acceptance of, and submis-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 to, whatsoever has been revealed by their pen; loyal and steadfast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adherence to every clause of our beloved’s sacred will; and close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sociation with the spirit as well as the form of the present day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administration throughout the world—these i conceive to be the fun-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damental and primary considerations that must be fairly, discreetly and thoughtfully ascertained before reaching such a vital decision.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(Bahá’í Administration, p. 90, o ctober 2,</w:t>
        <w:tab/>
        <w:t>1925)32.1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32.2a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 issue of acceptance of new believers, when it wrote: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who declare themselves as bahá’ís should become 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chanted with the beauty of the teachings, and touched by the love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bahá’u’lláh. The declarants need not know all the proofs, history,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laws, and principles of the faith, but in the process of declaring them-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selves they must, in addition to catching the spark of faith, become basically informed about the central figures of the faith, as well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existence of laws they must follow and an administration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obey.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(from a letter to all National Spiritual Assemblies, 1 j uly 196)32-1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follows that individuals who do not satisfy these requirements cannot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regarded as members of the bahá’í community, irrespective of what-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 statements they might make concerning the nature of their belief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bahá’u’lláh. Such a situation arises, in some instances, when a person claims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accept the station of bahá’u’lláh but does not accept the authority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institutions. The guardian clarified this matter in a letter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written on his behalf, stating: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To accept the cause without the administration is like to accept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teachings without acknowledging the divine station of bahá’u’lláh.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a bahá’í is to accept the cause in its entirety. To take excep-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to one basic principle is to deny the authority and sovereignty of bahá’u’lláh, and therefore is to deny the cause.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(letter to a National Spiritual Assembly, 0 m ay 190)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 you feel that mr. . . . does not accept “the authority and sovereignty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bahá’u’lláh” as explained above, despite the statements he might make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asserting his acceptance of the bahá’í faith, you should remove his name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list of members and regard him as being a non-b ahá’í.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 you feel that the continued association of the bahá’ís with mr. . . .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potentially damaging to their belief or is detrimental to the unity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community, you could well consider advising the believers to avoid associa-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with him.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32-1. See muhj, no. 18.32.2b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32.3a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6The house of justice advises you to deal with this matter in a straightfor-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ward way, avoiding any actions which might serve to increase mr. . . .’s sense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own importance or which might needlessly antagonize him and hence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provoke him into active opposition of the i nstitutions.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will offer its prayers at the Sacred Threshold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guidance in resolving this matter.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Functioning of an Executive Committee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National Spiritual Assembly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 aháís of</dc:title>
  <dc:subject>Bahá'í Guidance (1987-06-28)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