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1987-10-11</w:t>
      </w:r>
    </w:p>
    <w:p>
      <w:pPr>
        <w:spacing w:before="0" w:after="360"/>
        <w:jc w:val="left"/>
      </w:pPr>
      <w:r>
        <w:rPr>
          <w:rFonts w:ascii="Times New Roman" w:hAnsi="Times New Roman"/>
          <w:b w:val="0"/>
          <w:color w:val="000000"/>
          <w:sz w:val="22"/>
        </w:rPr>
        <w:t>To all National Spiritual Assemblies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dear b ahá’í f riends,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we enclose a copy of a new compilation entitled Crisis and Victory, which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was prepared by the research department at our instruction.38-1 The pur-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pose of this compilation is to orient the believers to the processes, within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without the faith, that will accompany its progressive emergence on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world stage.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 ribulations attend and fuel the unfoldment of the faith of bahá’u’lláh.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describing the sweep of bahá’í history, the beloved guardian identified a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pattern of growth which is characterized by “a series of pulsations, of alter-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nating crises and triumphs, leading it [the faith] ever nearer to its divinely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appointed destiny.”38-2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As the stature of the cause of god increases in the eyes of the world,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process of its emergence into the limelight of public attention, resulting, 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large part, from the indescribable sacrifices of the beloved friends in iran,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is accelerated, and the faith, gradually and inevitably, is projected into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next stage of its divinely propelled development.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shelter of its relatively imperceptible expansion enabled the founda-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tions of the faith to be established and consolidated, and the community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attain a level of stability. Now, with the entrance of the faith on the world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scene, we call upon the believers everywhere not to allow themselves, even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for one moment, to be perturbed by any increase in opposition to the cause.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rather let them deepen their understanding of the creative interaction be-tween crisis and victory in the evolution of the faith, and increase their aware-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ness of the power inherent in the cause to surmount all obstacles that threaten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its progress. Armed with this knowledge, let them seize the opportunities that arise and embrace the god-given challenges, confident in the invincibility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faith and the steady onward march of its institutions.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with loving b ahá’í greetings,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38-1. The compilation is too lengthy to include here; see cc 1:131–85.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38-2. gpb, p. 409.38.1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38.2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38.3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38.4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 eS Sa g e S f ro m  Th e  u n i v e r Sa l  h o u Se  o f  j u S Ti c 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7239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Arrest of Six Bahá’ís in Iran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all National Spiritual Assemblies</dc:title>
  <dc:subject>Bahá'í Guidance (1987-10-11)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