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1987-12-25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we enclose a copy of a new compilation entitled The Covenant, which</w:t>
      </w:r>
    </w:p>
    <w:p>
      <w:pPr>
        <w:spacing w:before="0" w:after="160" w:line="276" w:lineRule="auto"/>
        <w:jc w:val="both"/>
      </w:pPr>
      <w:r>
        <w:rPr>
          <w:rFonts w:ascii="Times New Roman" w:hAnsi="Times New Roman"/>
          <w:color w:val="000000"/>
          <w:sz w:val="22"/>
        </w:rPr>
        <w:t>was prepared by the r esearch d epartment at our instruction.45-1</w:t>
      </w:r>
    </w:p>
    <w:p>
      <w:pPr>
        <w:spacing w:before="0" w:after="160" w:line="276" w:lineRule="auto"/>
        <w:jc w:val="both"/>
      </w:pPr>
      <w:r>
        <w:rPr>
          <w:rFonts w:ascii="Times New Roman" w:hAnsi="Times New Roman"/>
          <w:color w:val="000000"/>
          <w:sz w:val="22"/>
        </w:rPr>
        <w:t>The covenant of bahá’u’lláh, the 100th anniversary of the inception of</w:t>
      </w:r>
    </w:p>
    <w:p>
      <w:pPr>
        <w:spacing w:before="0" w:after="160" w:line="276" w:lineRule="auto"/>
        <w:jc w:val="both"/>
      </w:pPr>
      <w:r>
        <w:rPr>
          <w:rFonts w:ascii="Times New Roman" w:hAnsi="Times New Roman"/>
          <w:color w:val="000000"/>
          <w:sz w:val="22"/>
        </w:rPr>
        <w:t>which will be commemorated in 1992, must be the subject of sustained and</w:t>
      </w:r>
    </w:p>
    <w:p>
      <w:pPr>
        <w:spacing w:before="0" w:after="160" w:line="276" w:lineRule="auto"/>
        <w:jc w:val="both"/>
      </w:pPr>
      <w:r>
        <w:rPr>
          <w:rFonts w:ascii="Times New Roman" w:hAnsi="Times New Roman"/>
          <w:color w:val="000000"/>
          <w:sz w:val="22"/>
        </w:rPr>
        <w:t>concentrated study. instituted by the revealer of god’s word in this day to</w:t>
      </w:r>
    </w:p>
    <w:p>
      <w:pPr>
        <w:spacing w:before="0" w:after="160" w:line="276" w:lineRule="auto"/>
        <w:jc w:val="both"/>
      </w:pPr>
      <w:r>
        <w:rPr>
          <w:rFonts w:ascii="Times New Roman" w:hAnsi="Times New Roman"/>
          <w:color w:val="000000"/>
          <w:sz w:val="22"/>
        </w:rPr>
        <w:t>direct and canalize the forces released by his revelation, the covenant in</w:t>
      </w:r>
    </w:p>
    <w:p>
      <w:pPr>
        <w:spacing w:before="0" w:after="160" w:line="276" w:lineRule="auto"/>
        <w:jc w:val="both"/>
      </w:pPr>
      <w:r>
        <w:rPr>
          <w:rFonts w:ascii="Times New Roman" w:hAnsi="Times New Roman"/>
          <w:color w:val="000000"/>
          <w:sz w:val="22"/>
        </w:rPr>
        <w:t>essence guarantees the continuation of divine guidance after the ascension</w:t>
      </w:r>
    </w:p>
    <w:p>
      <w:pPr>
        <w:spacing w:before="0" w:after="160" w:line="276" w:lineRule="auto"/>
        <w:jc w:val="both"/>
      </w:pPr>
      <w:r>
        <w:rPr>
          <w:rFonts w:ascii="Times New Roman" w:hAnsi="Times New Roman"/>
          <w:color w:val="000000"/>
          <w:sz w:val="22"/>
        </w:rPr>
        <w:t>of the manifestation through the presence in the world of an institution to</w:t>
      </w:r>
    </w:p>
    <w:p>
      <w:pPr>
        <w:spacing w:before="0" w:after="160" w:line="276" w:lineRule="auto"/>
        <w:jc w:val="both"/>
      </w:pPr>
      <w:r>
        <w:rPr>
          <w:rFonts w:ascii="Times New Roman" w:hAnsi="Times New Roman"/>
          <w:color w:val="000000"/>
          <w:sz w:val="22"/>
        </w:rPr>
        <w:t>which all the friends must turn.</w:t>
      </w:r>
    </w:p>
    <w:p>
      <w:pPr>
        <w:spacing w:before="0" w:after="160" w:line="276" w:lineRule="auto"/>
        <w:jc w:val="both"/>
      </w:pPr>
      <w:r>
        <w:rPr>
          <w:rFonts w:ascii="Times New Roman" w:hAnsi="Times New Roman"/>
          <w:color w:val="000000"/>
          <w:sz w:val="22"/>
        </w:rPr>
        <w:t>So important for the development of the faith at this time is the un-</w:t>
      </w:r>
    </w:p>
    <w:p>
      <w:pPr>
        <w:spacing w:before="0" w:after="160" w:line="276" w:lineRule="auto"/>
        <w:jc w:val="both"/>
      </w:pPr>
      <w:r>
        <w:rPr>
          <w:rFonts w:ascii="Times New Roman" w:hAnsi="Times New Roman"/>
          <w:color w:val="000000"/>
          <w:sz w:val="22"/>
        </w:rPr>
        <w:t>derstanding of the covenant in all its aspects that it has been designated</w:t>
      </w:r>
    </w:p>
    <w:p>
      <w:pPr>
        <w:spacing w:before="0" w:after="160" w:line="276" w:lineRule="auto"/>
        <w:jc w:val="both"/>
      </w:pPr>
      <w:r>
        <w:rPr>
          <w:rFonts w:ascii="Times New Roman" w:hAnsi="Times New Roman"/>
          <w:color w:val="000000"/>
          <w:sz w:val="22"/>
        </w:rPr>
        <w:t>as a major theme of the Six year plan. it is our earnest hope that the new</w:t>
      </w:r>
    </w:p>
    <w:p>
      <w:pPr>
        <w:spacing w:before="0" w:after="160" w:line="276" w:lineRule="auto"/>
        <w:jc w:val="both"/>
      </w:pPr>
      <w:r>
        <w:rPr>
          <w:rFonts w:ascii="Times New Roman" w:hAnsi="Times New Roman"/>
          <w:color w:val="000000"/>
          <w:sz w:val="22"/>
        </w:rPr>
        <w:t>compilation, consisting of extracts which convey essential elements of the covenant, will serve not only to deepen the understanding and love of the believers for the covenant, but also to increase their level of conviction, and</w:t>
      </w:r>
    </w:p>
    <w:p>
      <w:pPr>
        <w:spacing w:before="0" w:after="160" w:line="276" w:lineRule="auto"/>
        <w:jc w:val="both"/>
      </w:pPr>
      <w:r>
        <w:rPr>
          <w:rFonts w:ascii="Times New Roman" w:hAnsi="Times New Roman"/>
          <w:color w:val="000000"/>
          <w:sz w:val="22"/>
        </w:rPr>
        <w:t>their loyalty to the cause and its institutions. To this end you will undoubt-</w:t>
      </w:r>
    </w:p>
    <w:p>
      <w:pPr>
        <w:spacing w:before="0" w:after="160" w:line="276" w:lineRule="auto"/>
        <w:jc w:val="both"/>
      </w:pPr>
      <w:r>
        <w:rPr>
          <w:rFonts w:ascii="Times New Roman" w:hAnsi="Times New Roman"/>
          <w:color w:val="000000"/>
          <w:sz w:val="22"/>
        </w:rPr>
        <w:t>edly wish to arrange for the compilation to be made available to the friends</w:t>
      </w:r>
    </w:p>
    <w:p>
      <w:pPr>
        <w:spacing w:before="0" w:after="160" w:line="276" w:lineRule="auto"/>
        <w:jc w:val="both"/>
      </w:pPr>
      <w:r>
        <w:rPr>
          <w:rFonts w:ascii="Times New Roman" w:hAnsi="Times New Roman"/>
          <w:color w:val="000000"/>
          <w:sz w:val="22"/>
        </w:rPr>
        <w:t>45-1. The compilation is too lengthy to include here; see cc 1:111–29.44.8</w:t>
      </w:r>
    </w:p>
    <w:p>
      <w:pPr>
        <w:spacing w:before="280" w:after="120"/>
        <w:jc w:val="left"/>
      </w:pPr>
      <w:r>
        <w:rPr>
          <w:rFonts w:ascii="Times New Roman" w:hAnsi="Times New Roman"/>
          <w:b/>
          <w:color w:val="000000"/>
          <w:sz w:val="22"/>
        </w:rPr>
        <w:t>45.1</w:t>
      </w:r>
    </w:p>
    <w:p>
      <w:pPr>
        <w:spacing w:before="280" w:after="120"/>
        <w:jc w:val="left"/>
      </w:pPr>
      <w:r>
        <w:rPr>
          <w:rFonts w:ascii="Times New Roman" w:hAnsi="Times New Roman"/>
          <w:b/>
          <w:color w:val="000000"/>
          <w:sz w:val="22"/>
        </w:rPr>
        <w:t>45.2</w:t>
      </w:r>
    </w:p>
    <w:p>
      <w:pPr>
        <w:spacing w:before="280" w:after="120"/>
        <w:jc w:val="left"/>
      </w:pPr>
      <w:r>
        <w:rPr>
          <w:rFonts w:ascii="Times New Roman" w:hAnsi="Times New Roman"/>
          <w:b/>
          <w:color w:val="000000"/>
          <w:sz w:val="22"/>
        </w:rPr>
        <w:t>45.3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79and, if translation is required, to have it translated in full into the main</w:t>
      </w:r>
    </w:p>
    <w:p>
      <w:pPr>
        <w:spacing w:before="0" w:after="160" w:line="276" w:lineRule="auto"/>
        <w:jc w:val="both"/>
      </w:pPr>
      <w:r>
        <w:rPr>
          <w:rFonts w:ascii="Times New Roman" w:hAnsi="Times New Roman"/>
          <w:color w:val="000000"/>
          <w:sz w:val="22"/>
        </w:rPr>
        <w:t>language or languages used in the areas under your jurisdiction. Should it</w:t>
      </w:r>
    </w:p>
    <w:p>
      <w:pPr>
        <w:spacing w:before="0" w:after="160" w:line="276" w:lineRule="auto"/>
        <w:jc w:val="both"/>
      </w:pPr>
      <w:r>
        <w:rPr>
          <w:rFonts w:ascii="Times New Roman" w:hAnsi="Times New Roman"/>
          <w:color w:val="000000"/>
          <w:sz w:val="22"/>
        </w:rPr>
        <w:t>be necessary to translate the text into vernacular languages of limited usage,</w:t>
      </w:r>
    </w:p>
    <w:p>
      <w:pPr>
        <w:spacing w:before="0" w:after="160" w:line="276" w:lineRule="auto"/>
        <w:jc w:val="both"/>
      </w:pPr>
      <w:r>
        <w:rPr>
          <w:rFonts w:ascii="Times New Roman" w:hAnsi="Times New Roman"/>
          <w:color w:val="000000"/>
          <w:sz w:val="22"/>
        </w:rPr>
        <w:t>you are free of course to prepare an abridged form by selecting extracts from the compilation.</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46</w:t>
      </w:r>
    </w:p>
    <w:p>
      <w:pPr>
        <w:spacing w:before="0" w:after="160" w:line="276" w:lineRule="auto"/>
        <w:jc w:val="both"/>
      </w:pPr>
      <w:r>
        <w:rPr>
          <w:rFonts w:ascii="Times New Roman" w:hAnsi="Times New Roman"/>
          <w:color w:val="000000"/>
          <w:sz w:val="22"/>
        </w:rPr>
        <w:t>Indigenous Rights and Self-Determination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(1987-12-25)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