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1989-03-23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the vital goals of the Six year plan is the education of the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law of þuqúqu’lláh, observance of which has a profound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 beyond the practical benefits for the work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 rustee of þuqúqu’lláh, the hand of the cause of god dr. ‘Alí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developing the structure of his deputies and representatives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world. in addition to their function of receiving þuqúqu’lláh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friends, these deputies and representatives share with the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 the responsibility for educating all the believers in this law. To achieve the best results there should be close and wholehearted col-laboration between the National Spiritual Assemblies and the deputies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representatives of þuqúqu’lláh in their countries. The house of justice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confident that these newly forged links will be greatly strengthened as the bahá’í world enters the second half of the Six year plan, and assures you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its prayers for your confirmation in your efforts to achieve this goal.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secretariat62.1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62.2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12263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Application of the Law of Ḥuqúqu’lláh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(1989-03-23)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