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1989-10-26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enclose a copy of a new compilation entitled Conservation of 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Earth’s Resources, which was prepared by the research department 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the friends in responding to the call, in the ri¤ván message, for 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increase in bahá’í activities aimed at supporting endeavors to protect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environment.76-1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compilation was assembled, primarily, to deepen the believers’ ap-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preciation of the bahá’í concept of nature and to enhance their understand-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of both man’s relationship to nature and his responsibility to preserve the world’s ecological balance. it could also serve as a valuable tool for 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non-b ahá’ís who have some knowledge of the bahá’í faith and 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approach to the solution of pressing social problems.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Assemblies will make the material in the compilation available to the believ-ers and that, armed with increased knowledge of this important subject, the friends will be inspired to lend their assistance to those who are striving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make this world “an earthly paradise.”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76-2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great pleasure the house of justice takes this opportunity to an-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nounce the establishment of an office of the environment, which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conduct the external relations of the bahá’í international community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regard to environmental matters. Thus it will foster relations with the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wide fund for Nature and other like-minded nongovernmental organiza-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76-1. The compilation is too lengthy to include here; see cc 1, pp. 65–92.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76-2. Sw Ab, no. 220.1.76.1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76.2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76.3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76.4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15tions and will work in collaboration with the office of Social and economic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development. The new office operates alongside the other offices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international community in New york, namely, the united Nations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office and the o ffice of p ublic i nformation.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Appointment of New Continental Counselor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(1989-10-26)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