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1989-12-11</w:t>
      </w:r>
    </w:p>
    <w:p>
      <w:pPr>
        <w:spacing w:before="0" w:after="160" w:line="276" w:lineRule="auto"/>
        <w:jc w:val="both"/>
      </w:pPr>
      <w:r>
        <w:rPr>
          <w:rFonts w:ascii="Times New Roman" w:hAnsi="Times New Roman"/>
          <w:color w:val="000000"/>
          <w:sz w:val="22"/>
        </w:rPr>
        <w:t>may the noble aspirations of those working to protect and restore the world’s forests, among whom richard St. barbe baker was so outstanding an advocate, be given further impetus by the world forestry charter gath- ering. may your actions become increasingly collaborative and unified in nature.</w:t>
      </w:r>
    </w:p>
    <w:p>
      <w:pPr>
        <w:spacing w:before="0" w:after="160" w:line="276" w:lineRule="auto"/>
        <w:jc w:val="both"/>
      </w:pPr>
      <w:r>
        <w:rPr>
          <w:rFonts w:ascii="Times New Roman" w:hAnsi="Times New Roman"/>
          <w:color w:val="000000"/>
          <w:sz w:val="22"/>
        </w:rPr>
        <w:t>efforts such as yours to reverse the deterioration of our natural envi- ronment reveal a growing awareness that solutions must embrace a global perspective in order to be effective.</w:t>
      </w:r>
    </w:p>
    <w:p>
      <w:pPr>
        <w:spacing w:before="0" w:after="160" w:line="276" w:lineRule="auto"/>
        <w:jc w:val="both"/>
      </w:pPr>
      <w:r>
        <w:rPr>
          <w:rFonts w:ascii="Times New Roman" w:hAnsi="Times New Roman"/>
          <w:color w:val="000000"/>
          <w:sz w:val="22"/>
        </w:rPr>
        <w:t>“The earth,” as bahá’u’lláh stated a century ago, “is but one country and mankind its citizens.”82-1</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f orestry charter g athering Savoy h otel</dc:title>
  <dc:subject>Bahá'í Guidance (1989-12-11)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