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1991-10-28</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 . . The house of justice was deeply touched by the spirit of your letter,</w:t>
      </w:r>
    </w:p>
    <w:p>
      <w:pPr>
        <w:spacing w:before="0" w:after="160" w:line="276" w:lineRule="auto"/>
        <w:jc w:val="both"/>
      </w:pPr>
      <w:r>
        <w:rPr>
          <w:rFonts w:ascii="Times New Roman" w:hAnsi="Times New Roman"/>
          <w:color w:val="000000"/>
          <w:sz w:val="22"/>
        </w:rPr>
        <w:t>warmly congratulates you on the status you have attained as an academic,</w:t>
      </w:r>
    </w:p>
    <w:p>
      <w:pPr>
        <w:spacing w:before="0" w:after="160" w:line="276" w:lineRule="auto"/>
        <w:jc w:val="both"/>
      </w:pPr>
      <w:r>
        <w:rPr>
          <w:rFonts w:ascii="Times New Roman" w:hAnsi="Times New Roman"/>
          <w:color w:val="000000"/>
          <w:sz w:val="22"/>
        </w:rPr>
        <w:t>and appreciates your efforts to make use of your scholarly training in lend-ing expression to the f aith in academic circles.</w:t>
      </w:r>
    </w:p>
    <w:p>
      <w:pPr>
        <w:spacing w:before="0" w:after="160" w:line="276" w:lineRule="auto"/>
        <w:jc w:val="both"/>
      </w:pPr>
      <w:r>
        <w:rPr>
          <w:rFonts w:ascii="Times New Roman" w:hAnsi="Times New Roman"/>
          <w:color w:val="000000"/>
          <w:sz w:val="22"/>
        </w:rPr>
        <w:t>The requirement that materials about the faith authored by bahá’ís</w:t>
      </w:r>
    </w:p>
    <w:p>
      <w:pPr>
        <w:spacing w:before="0" w:after="160" w:line="276" w:lineRule="auto"/>
        <w:jc w:val="both"/>
      </w:pPr>
      <w:r>
        <w:rPr>
          <w:rFonts w:ascii="Times New Roman" w:hAnsi="Times New Roman"/>
          <w:color w:val="000000"/>
          <w:sz w:val="22"/>
        </w:rPr>
        <w:t>must be reviewed by bahá’í institutions before publication is imbedded in</w:t>
      </w:r>
    </w:p>
    <w:p>
      <w:pPr>
        <w:spacing w:before="0" w:after="160" w:line="276" w:lineRule="auto"/>
        <w:jc w:val="both"/>
      </w:pPr>
      <w:r>
        <w:rPr>
          <w:rFonts w:ascii="Times New Roman" w:hAnsi="Times New Roman"/>
          <w:color w:val="000000"/>
          <w:sz w:val="22"/>
        </w:rPr>
        <w:t>a bahá’í administrative policy which originated with the explicit instruc-</w:t>
      </w:r>
    </w:p>
    <w:p>
      <w:pPr>
        <w:spacing w:before="0" w:after="160" w:line="276" w:lineRule="auto"/>
        <w:jc w:val="both"/>
      </w:pPr>
      <w:r>
        <w:rPr>
          <w:rFonts w:ascii="Times New Roman" w:hAnsi="Times New Roman"/>
          <w:color w:val="000000"/>
          <w:sz w:val="22"/>
        </w:rPr>
        <w:t>tion of ‘Abdu’l-b ahá. Shoghi effendi included this instruction in his outline</w:t>
      </w:r>
    </w:p>
    <w:p>
      <w:pPr>
        <w:spacing w:before="0" w:after="160" w:line="276" w:lineRule="auto"/>
        <w:jc w:val="both"/>
      </w:pPr>
      <w:r>
        <w:rPr>
          <w:rFonts w:ascii="Times New Roman" w:hAnsi="Times New Roman"/>
          <w:color w:val="000000"/>
          <w:sz w:val="22"/>
        </w:rPr>
        <w:t>of the duties of National Spiritual Assemblies, and the duty of reviewing bahá’í material is included in the constitution of these institutions with</w:t>
      </w:r>
    </w:p>
    <w:p>
      <w:pPr>
        <w:spacing w:before="0" w:after="160" w:line="276" w:lineRule="auto"/>
        <w:jc w:val="both"/>
      </w:pPr>
      <w:r>
        <w:rPr>
          <w:rFonts w:ascii="Times New Roman" w:hAnsi="Times New Roman"/>
          <w:color w:val="000000"/>
          <w:sz w:val="22"/>
        </w:rPr>
        <w:t>his approval. The requirement is temporary and is meant to protect the</w:t>
      </w:r>
    </w:p>
    <w:p>
      <w:pPr>
        <w:spacing w:before="0" w:after="160" w:line="276" w:lineRule="auto"/>
        <w:jc w:val="both"/>
      </w:pPr>
      <w:r>
        <w:rPr>
          <w:rFonts w:ascii="Times New Roman" w:hAnsi="Times New Roman"/>
          <w:color w:val="000000"/>
          <w:sz w:val="22"/>
        </w:rPr>
        <w:t>interests of the f aith at the early stages of its development.</w:t>
      </w:r>
    </w:p>
    <w:p>
      <w:pPr>
        <w:spacing w:before="0" w:after="160" w:line="276" w:lineRule="auto"/>
        <w:jc w:val="both"/>
      </w:pPr>
      <w:r>
        <w:rPr>
          <w:rFonts w:ascii="Times New Roman" w:hAnsi="Times New Roman"/>
          <w:color w:val="000000"/>
          <w:sz w:val="22"/>
        </w:rPr>
        <w:t>you are, of course, entirely correct that only the guardian had the pre-</w:t>
      </w:r>
    </w:p>
    <w:p>
      <w:pPr>
        <w:spacing w:before="0" w:after="160" w:line="276" w:lineRule="auto"/>
        <w:jc w:val="both"/>
      </w:pPr>
      <w:r>
        <w:rPr>
          <w:rFonts w:ascii="Times New Roman" w:hAnsi="Times New Roman"/>
          <w:color w:val="000000"/>
          <w:sz w:val="22"/>
        </w:rPr>
        <w:t>rogative of interpretation; it is not a prerogative that he could have devolved</w:t>
      </w:r>
    </w:p>
    <w:p>
      <w:pPr>
        <w:spacing w:before="0" w:after="160" w:line="276" w:lineRule="auto"/>
        <w:jc w:val="both"/>
      </w:pPr>
      <w:r>
        <w:rPr>
          <w:rFonts w:ascii="Times New Roman" w:hAnsi="Times New Roman"/>
          <w:color w:val="000000"/>
          <w:sz w:val="22"/>
        </w:rPr>
        <w:t>on other institutions. yet in a number of letters written on his behalf, the</w:t>
      </w:r>
    </w:p>
    <w:p>
      <w:pPr>
        <w:spacing w:before="0" w:after="160" w:line="276" w:lineRule="auto"/>
        <w:jc w:val="both"/>
      </w:pPr>
      <w:r>
        <w:rPr>
          <w:rFonts w:ascii="Times New Roman" w:hAnsi="Times New Roman"/>
          <w:color w:val="000000"/>
          <w:sz w:val="22"/>
        </w:rPr>
        <w:t>importance of reviewing manuscripts about the faith was repeatedly em-</w:t>
      </w:r>
    </w:p>
    <w:p>
      <w:pPr>
        <w:spacing w:before="0" w:after="160" w:line="276" w:lineRule="auto"/>
        <w:jc w:val="both"/>
      </w:pPr>
      <w:r>
        <w:rPr>
          <w:rFonts w:ascii="Times New Roman" w:hAnsi="Times New Roman"/>
          <w:color w:val="000000"/>
          <w:sz w:val="22"/>
        </w:rPr>
        <w:t>phasized, such as in a letter dated 15 November 1956 written to an indi-vidual, in which the following is stated:117 .2</w:t>
      </w:r>
    </w:p>
    <w:p>
      <w:pPr>
        <w:spacing w:before="280" w:after="120"/>
        <w:jc w:val="left"/>
      </w:pPr>
      <w:r>
        <w:rPr>
          <w:rFonts w:ascii="Times New Roman" w:hAnsi="Times New Roman"/>
          <w:b/>
          <w:color w:val="000000"/>
          <w:sz w:val="22"/>
        </w:rPr>
        <w:t>118.1</w:t>
      </w:r>
    </w:p>
    <w:p>
      <w:pPr>
        <w:spacing w:before="280" w:after="120"/>
        <w:jc w:val="left"/>
      </w:pPr>
      <w:r>
        <w:rPr>
          <w:rFonts w:ascii="Times New Roman" w:hAnsi="Times New Roman"/>
          <w:b/>
          <w:color w:val="000000"/>
          <w:sz w:val="22"/>
        </w:rPr>
        <w:t>118.2</w:t>
      </w:r>
    </w:p>
    <w:p>
      <w:pPr>
        <w:spacing w:before="280" w:after="120"/>
        <w:jc w:val="left"/>
      </w:pPr>
      <w:r>
        <w:rPr>
          <w:rFonts w:ascii="Times New Roman" w:hAnsi="Times New Roman"/>
          <w:b/>
          <w:color w:val="000000"/>
          <w:sz w:val="22"/>
        </w:rPr>
        <w:t>118.3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21Any bahá’í book presenting the faith should be reviewed by a compe-</w:t>
      </w:r>
    </w:p>
    <w:p>
      <w:pPr>
        <w:spacing w:before="0" w:after="160" w:line="276" w:lineRule="auto"/>
        <w:jc w:val="both"/>
      </w:pPr>
      <w:r>
        <w:rPr>
          <w:rFonts w:ascii="Times New Roman" w:hAnsi="Times New Roman"/>
          <w:color w:val="000000"/>
          <w:sz w:val="22"/>
        </w:rPr>
        <w:t>tent body. This only means that they should ascertain whether there</w:t>
      </w:r>
    </w:p>
    <w:p>
      <w:pPr>
        <w:spacing w:before="0" w:after="160" w:line="276" w:lineRule="auto"/>
        <w:jc w:val="both"/>
      </w:pPr>
      <w:r>
        <w:rPr>
          <w:rFonts w:ascii="Times New Roman" w:hAnsi="Times New Roman"/>
          <w:color w:val="000000"/>
          <w:sz w:val="22"/>
        </w:rPr>
        <w:t>is any misrepresentation of the Teachings in it. Sometimes the friends</w:t>
      </w:r>
    </w:p>
    <w:p>
      <w:pPr>
        <w:spacing w:before="0" w:after="160" w:line="276" w:lineRule="auto"/>
        <w:jc w:val="both"/>
      </w:pPr>
      <w:r>
        <w:rPr>
          <w:rFonts w:ascii="Times New Roman" w:hAnsi="Times New Roman"/>
          <w:color w:val="000000"/>
          <w:sz w:val="22"/>
        </w:rPr>
        <w:t>think they have to go into literary reviews and interfere with the au-thor’s style etc., which of course is wholly unnecessary. . . .</w:t>
      </w:r>
    </w:p>
    <w:p>
      <w:pPr>
        <w:spacing w:before="0" w:after="160" w:line="276" w:lineRule="auto"/>
        <w:jc w:val="both"/>
      </w:pPr>
      <w:r>
        <w:rPr>
          <w:rFonts w:ascii="Times New Roman" w:hAnsi="Times New Roman"/>
          <w:color w:val="000000"/>
          <w:sz w:val="22"/>
        </w:rPr>
        <w:t>118-1</w:t>
      </w:r>
    </w:p>
    <w:p>
      <w:pPr>
        <w:spacing w:before="0" w:after="160" w:line="276" w:lineRule="auto"/>
        <w:jc w:val="both"/>
      </w:pPr>
      <w:r>
        <w:rPr>
          <w:rFonts w:ascii="Times New Roman" w:hAnsi="Times New Roman"/>
          <w:color w:val="000000"/>
          <w:sz w:val="22"/>
        </w:rPr>
        <w:t>clearly, then, there is a distinction between the function of interpretation for which Shoghi effendi was solely responsible and the function of bahá’í</w:t>
      </w:r>
    </w:p>
    <w:p>
      <w:pPr>
        <w:spacing w:before="0" w:after="160" w:line="276" w:lineRule="auto"/>
        <w:jc w:val="both"/>
      </w:pPr>
      <w:r>
        <w:rPr>
          <w:rFonts w:ascii="Times New Roman" w:hAnsi="Times New Roman"/>
          <w:color w:val="000000"/>
          <w:sz w:val="22"/>
        </w:rPr>
        <w:t>review, which is essentially a matter of judgment. literary review is, of</w:t>
      </w:r>
    </w:p>
    <w:p>
      <w:pPr>
        <w:spacing w:before="0" w:after="160" w:line="276" w:lineRule="auto"/>
        <w:jc w:val="both"/>
      </w:pPr>
      <w:r>
        <w:rPr>
          <w:rFonts w:ascii="Times New Roman" w:hAnsi="Times New Roman"/>
          <w:color w:val="000000"/>
          <w:sz w:val="22"/>
        </w:rPr>
        <w:t>course, a separate matter.</w:t>
      </w:r>
    </w:p>
    <w:p>
      <w:pPr>
        <w:spacing w:before="0" w:after="160" w:line="276" w:lineRule="auto"/>
        <w:jc w:val="both"/>
      </w:pPr>
      <w:r>
        <w:rPr>
          <w:rFonts w:ascii="Times New Roman" w:hAnsi="Times New Roman"/>
          <w:color w:val="000000"/>
          <w:sz w:val="22"/>
        </w:rPr>
        <w:t>The house of justice feels certain that it is possible for scholars to abide</w:t>
      </w:r>
    </w:p>
    <w:p>
      <w:pPr>
        <w:spacing w:before="0" w:after="160" w:line="276" w:lineRule="auto"/>
        <w:jc w:val="both"/>
      </w:pPr>
      <w:r>
        <w:rPr>
          <w:rFonts w:ascii="Times New Roman" w:hAnsi="Times New Roman"/>
          <w:color w:val="000000"/>
          <w:sz w:val="22"/>
        </w:rPr>
        <w:t>by this requirement without undermining the academic standard of their</w:t>
      </w:r>
    </w:p>
    <w:p>
      <w:pPr>
        <w:spacing w:before="0" w:after="160" w:line="276" w:lineRule="auto"/>
        <w:jc w:val="both"/>
      </w:pPr>
      <w:r>
        <w:rPr>
          <w:rFonts w:ascii="Times New Roman" w:hAnsi="Times New Roman"/>
          <w:color w:val="000000"/>
          <w:sz w:val="22"/>
        </w:rPr>
        <w:t>work, since the purpose of review is not inimical to academic excellence.</w:t>
      </w:r>
    </w:p>
    <w:p>
      <w:pPr>
        <w:spacing w:before="0" w:after="160" w:line="276" w:lineRule="auto"/>
        <w:jc w:val="both"/>
      </w:pPr>
      <w:r>
        <w:rPr>
          <w:rFonts w:ascii="Times New Roman" w:hAnsi="Times New Roman"/>
          <w:color w:val="000000"/>
          <w:sz w:val="22"/>
        </w:rPr>
        <w:t>your concerns as an academic certainly deserve careful attention. but the</w:t>
      </w:r>
    </w:p>
    <w:p>
      <w:pPr>
        <w:spacing w:before="0" w:after="160" w:line="276" w:lineRule="auto"/>
        <w:jc w:val="both"/>
      </w:pPr>
      <w:r>
        <w:rPr>
          <w:rFonts w:ascii="Times New Roman" w:hAnsi="Times New Roman"/>
          <w:color w:val="000000"/>
          <w:sz w:val="22"/>
        </w:rPr>
        <w:t>bahá’í community also has immense concerns about the consequences of</w:t>
      </w:r>
    </w:p>
    <w:p>
      <w:pPr>
        <w:spacing w:before="0" w:after="160" w:line="276" w:lineRule="auto"/>
        <w:jc w:val="both"/>
      </w:pPr>
      <w:r>
        <w:rPr>
          <w:rFonts w:ascii="Times New Roman" w:hAnsi="Times New Roman"/>
          <w:color w:val="000000"/>
          <w:sz w:val="22"/>
        </w:rPr>
        <w:t>dispensing too quickly with this requirement. The bahá’í faith makes very</w:t>
      </w:r>
    </w:p>
    <w:p>
      <w:pPr>
        <w:spacing w:before="0" w:after="160" w:line="276" w:lineRule="auto"/>
        <w:jc w:val="both"/>
      </w:pPr>
      <w:r>
        <w:rPr>
          <w:rFonts w:ascii="Times New Roman" w:hAnsi="Times New Roman"/>
          <w:color w:val="000000"/>
          <w:sz w:val="22"/>
        </w:rPr>
        <w:t>serious claims and has a rich and complex history, but it is as yet a young religion whose precepts are not widely understood. it has been undergoing</w:t>
      </w:r>
    </w:p>
    <w:p>
      <w:pPr>
        <w:spacing w:before="0" w:after="160" w:line="276" w:lineRule="auto"/>
        <w:jc w:val="both"/>
      </w:pPr>
      <w:r>
        <w:rPr>
          <w:rFonts w:ascii="Times New Roman" w:hAnsi="Times New Roman"/>
          <w:color w:val="000000"/>
          <w:sz w:val="22"/>
        </w:rPr>
        <w:t>severe persecution in the land of its birth and is experiencing serious op-</w:t>
      </w:r>
    </w:p>
    <w:p>
      <w:pPr>
        <w:spacing w:before="0" w:after="160" w:line="276" w:lineRule="auto"/>
        <w:jc w:val="both"/>
      </w:pPr>
      <w:r>
        <w:rPr>
          <w:rFonts w:ascii="Times New Roman" w:hAnsi="Times New Roman"/>
          <w:color w:val="000000"/>
          <w:sz w:val="22"/>
        </w:rPr>
        <w:t>position in other places where its detractors have no compunction in mis-</w:t>
      </w:r>
    </w:p>
    <w:p>
      <w:pPr>
        <w:spacing w:before="0" w:after="160" w:line="276" w:lineRule="auto"/>
        <w:jc w:val="both"/>
      </w:pPr>
      <w:r>
        <w:rPr>
          <w:rFonts w:ascii="Times New Roman" w:hAnsi="Times New Roman"/>
          <w:color w:val="000000"/>
          <w:sz w:val="22"/>
        </w:rPr>
        <w:t>representing its purposes. until its history, teachings and practices are well</w:t>
      </w:r>
    </w:p>
    <w:p>
      <w:pPr>
        <w:spacing w:before="0" w:after="160" w:line="276" w:lineRule="auto"/>
        <w:jc w:val="both"/>
      </w:pPr>
      <w:r>
        <w:rPr>
          <w:rFonts w:ascii="Times New Roman" w:hAnsi="Times New Roman"/>
          <w:color w:val="000000"/>
          <w:sz w:val="22"/>
        </w:rPr>
        <w:t>known throughout the world, it will be necessary for the bahá’í community</w:t>
      </w:r>
    </w:p>
    <w:p>
      <w:pPr>
        <w:spacing w:before="0" w:after="160" w:line="276" w:lineRule="auto"/>
        <w:jc w:val="both"/>
      </w:pPr>
      <w:r>
        <w:rPr>
          <w:rFonts w:ascii="Times New Roman" w:hAnsi="Times New Roman"/>
          <w:color w:val="000000"/>
          <w:sz w:val="22"/>
        </w:rPr>
        <w:t>to make efforts within itself to present correct information about the faith</w:t>
      </w:r>
    </w:p>
    <w:p>
      <w:pPr>
        <w:spacing w:before="0" w:after="160" w:line="276" w:lineRule="auto"/>
        <w:jc w:val="both"/>
      </w:pPr>
      <w:r>
        <w:rPr>
          <w:rFonts w:ascii="Times New Roman" w:hAnsi="Times New Roman"/>
          <w:color w:val="000000"/>
          <w:sz w:val="22"/>
        </w:rPr>
        <w:t>in published material. This can and must be done without violating the principle of freedom of expression, which, according to the teachings of the faith, is a vital right of all persons.</w:t>
      </w:r>
    </w:p>
    <w:p>
      <w:pPr>
        <w:spacing w:before="0" w:after="160" w:line="276" w:lineRule="auto"/>
        <w:jc w:val="both"/>
      </w:pPr>
      <w:r>
        <w:rPr>
          <w:rFonts w:ascii="Times New Roman" w:hAnsi="Times New Roman"/>
          <w:color w:val="000000"/>
          <w:sz w:val="22"/>
        </w:rPr>
        <w:t>even in the world of journalism where the most libertine excesses of</w:t>
      </w:r>
    </w:p>
    <w:p>
      <w:pPr>
        <w:spacing w:before="0" w:after="160" w:line="276" w:lineRule="auto"/>
        <w:jc w:val="both"/>
      </w:pPr>
      <w:r>
        <w:rPr>
          <w:rFonts w:ascii="Times New Roman" w:hAnsi="Times New Roman"/>
          <w:color w:val="000000"/>
          <w:sz w:val="22"/>
        </w:rPr>
        <w:t>expression are stoutly defended on the grounds of constitutional protection, as is the case in the united States, serious questions are being raised about</w:t>
      </w:r>
    </w:p>
    <w:p>
      <w:pPr>
        <w:spacing w:before="0" w:after="160" w:line="276" w:lineRule="auto"/>
        <w:jc w:val="both"/>
      </w:pPr>
      <w:r>
        <w:rPr>
          <w:rFonts w:ascii="Times New Roman" w:hAnsi="Times New Roman"/>
          <w:color w:val="000000"/>
          <w:sz w:val="22"/>
        </w:rPr>
        <w:t>the accuracy of nonfiction books being published these days. An article in a</w:t>
      </w:r>
    </w:p>
    <w:p>
      <w:pPr>
        <w:spacing w:before="0" w:after="160" w:line="276" w:lineRule="auto"/>
        <w:jc w:val="both"/>
      </w:pPr>
      <w:r>
        <w:rPr>
          <w:rFonts w:ascii="Times New Roman" w:hAnsi="Times New Roman"/>
          <w:color w:val="000000"/>
          <w:sz w:val="22"/>
        </w:rPr>
        <w:t>recent issue of Columbia Journalism Review ( july/August 1991), that bastion</w:t>
      </w:r>
    </w:p>
    <w:p>
      <w:pPr>
        <w:spacing w:before="0" w:after="160" w:line="276" w:lineRule="auto"/>
        <w:jc w:val="both"/>
      </w:pPr>
      <w:r>
        <w:rPr>
          <w:rFonts w:ascii="Times New Roman" w:hAnsi="Times New Roman"/>
          <w:color w:val="000000"/>
          <w:sz w:val="22"/>
        </w:rPr>
        <w:t>of freedom of expression, devoted attention to such questions, querying the</w:t>
      </w:r>
    </w:p>
    <w:p>
      <w:pPr>
        <w:spacing w:before="0" w:after="160" w:line="276" w:lineRule="auto"/>
        <w:jc w:val="both"/>
      </w:pPr>
      <w:r>
        <w:rPr>
          <w:rFonts w:ascii="Times New Roman" w:hAnsi="Times New Roman"/>
          <w:color w:val="000000"/>
          <w:sz w:val="22"/>
        </w:rPr>
        <w:t>responsibility of publishers and editors and commenting on the sloppiness of some writers. it encourages reviewers of inaccurate books to take the</w:t>
      </w:r>
    </w:p>
    <w:p>
      <w:pPr>
        <w:spacing w:before="0" w:after="160" w:line="276" w:lineRule="auto"/>
        <w:jc w:val="both"/>
      </w:pPr>
      <w:r>
        <w:rPr>
          <w:rFonts w:ascii="Times New Roman" w:hAnsi="Times New Roman"/>
          <w:color w:val="000000"/>
          <w:sz w:val="22"/>
        </w:rPr>
        <w:t>publishers to task and to expose the authors’ transgressions, pointing out,</w:t>
      </w:r>
    </w:p>
    <w:p>
      <w:pPr>
        <w:spacing w:before="0" w:after="160" w:line="276" w:lineRule="auto"/>
        <w:jc w:val="both"/>
      </w:pPr>
      <w:r>
        <w:rPr>
          <w:rFonts w:ascii="Times New Roman" w:hAnsi="Times New Roman"/>
          <w:color w:val="000000"/>
          <w:sz w:val="22"/>
        </w:rPr>
        <w:t>118-1. ldg, p. 120.118.3a</w:t>
      </w:r>
    </w:p>
    <w:p>
      <w:pPr>
        <w:spacing w:before="280" w:after="120"/>
        <w:jc w:val="left"/>
      </w:pPr>
      <w:r>
        <w:rPr>
          <w:rFonts w:ascii="Times New Roman" w:hAnsi="Times New Roman"/>
          <w:b/>
          <w:color w:val="000000"/>
          <w:sz w:val="22"/>
        </w:rPr>
        <w:t>118.4</w:t>
      </w:r>
    </w:p>
    <w:p>
      <w:pPr>
        <w:spacing w:before="280" w:after="120"/>
        <w:jc w:val="left"/>
      </w:pPr>
      <w:r>
        <w:rPr>
          <w:rFonts w:ascii="Times New Roman" w:hAnsi="Times New Roman"/>
          <w:b/>
          <w:color w:val="000000"/>
          <w:sz w:val="22"/>
        </w:rPr>
        <w:t>118.5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22by quoting one such reviewer, that: “A newspaper can report one thing one</w:t>
      </w:r>
    </w:p>
    <w:p>
      <w:pPr>
        <w:spacing w:before="0" w:after="160" w:line="276" w:lineRule="auto"/>
        <w:jc w:val="both"/>
      </w:pPr>
      <w:r>
        <w:rPr>
          <w:rFonts w:ascii="Times New Roman" w:hAnsi="Times New Roman"/>
          <w:color w:val="000000"/>
          <w:sz w:val="22"/>
        </w:rPr>
        <w:t>day and revise or revoke the report the next day; a book makes a promise of</w:t>
      </w:r>
    </w:p>
    <w:p>
      <w:pPr>
        <w:spacing w:before="0" w:after="160" w:line="276" w:lineRule="auto"/>
        <w:jc w:val="both"/>
      </w:pPr>
      <w:r>
        <w:rPr>
          <w:rFonts w:ascii="Times New Roman" w:hAnsi="Times New Roman"/>
          <w:color w:val="000000"/>
          <w:sz w:val="22"/>
        </w:rPr>
        <w:t>much longer duration and far greater authority. The scale and presentation</w:t>
      </w:r>
    </w:p>
    <w:p>
      <w:pPr>
        <w:spacing w:before="0" w:after="160" w:line="276" w:lineRule="auto"/>
        <w:jc w:val="both"/>
      </w:pPr>
      <w:r>
        <w:rPr>
          <w:rFonts w:ascii="Times New Roman" w:hAnsi="Times New Roman"/>
          <w:color w:val="000000"/>
          <w:sz w:val="22"/>
        </w:rPr>
        <w:t>make a vital difference.” but this has to do with review after publication.</w:t>
      </w:r>
    </w:p>
    <w:p>
      <w:pPr>
        <w:spacing w:before="0" w:after="160" w:line="276" w:lineRule="auto"/>
        <w:jc w:val="both"/>
      </w:pPr>
      <w:r>
        <w:rPr>
          <w:rFonts w:ascii="Times New Roman" w:hAnsi="Times New Roman"/>
          <w:color w:val="000000"/>
          <w:sz w:val="22"/>
        </w:rPr>
        <w:t>Among its suggestions for prepublication solutions to inaccuracy, the article offers the following thought to publishers: “They could pay in-house or</w:t>
      </w:r>
    </w:p>
    <w:p>
      <w:pPr>
        <w:spacing w:before="0" w:after="160" w:line="276" w:lineRule="auto"/>
        <w:jc w:val="both"/>
      </w:pPr>
      <w:r>
        <w:rPr>
          <w:rFonts w:ascii="Times New Roman" w:hAnsi="Times New Roman"/>
          <w:color w:val="000000"/>
          <w:sz w:val="22"/>
        </w:rPr>
        <w:t>outside researchers to request documentation from the author, then judge</w:t>
      </w:r>
    </w:p>
    <w:p>
      <w:pPr>
        <w:spacing w:before="0" w:after="160" w:line="276" w:lineRule="auto"/>
        <w:jc w:val="both"/>
      </w:pPr>
      <w:r>
        <w:rPr>
          <w:rFonts w:ascii="Times New Roman" w:hAnsi="Times New Roman"/>
          <w:color w:val="000000"/>
          <w:sz w:val="22"/>
        </w:rPr>
        <w:t>its worthiness. At the very least, they could pay for a spot check, then decide whether a full-scale review is necessary.”</w:t>
      </w:r>
    </w:p>
    <w:p>
      <w:pPr>
        <w:spacing w:before="0" w:after="160" w:line="276" w:lineRule="auto"/>
        <w:jc w:val="both"/>
      </w:pPr>
      <w:r>
        <w:rPr>
          <w:rFonts w:ascii="Times New Roman" w:hAnsi="Times New Roman"/>
          <w:color w:val="000000"/>
          <w:sz w:val="22"/>
        </w:rPr>
        <w:t>The positions you have taken in the third paragraph of your letter indi-</w:t>
      </w:r>
    </w:p>
    <w:p>
      <w:pPr>
        <w:spacing w:before="0" w:after="160" w:line="276" w:lineRule="auto"/>
        <w:jc w:val="both"/>
      </w:pPr>
      <w:r>
        <w:rPr>
          <w:rFonts w:ascii="Times New Roman" w:hAnsi="Times New Roman"/>
          <w:color w:val="000000"/>
          <w:sz w:val="22"/>
        </w:rPr>
        <w:t>cate an overreaction and a misconception of the real purpose of bahá’í re-</w:t>
      </w:r>
    </w:p>
    <w:p>
      <w:pPr>
        <w:spacing w:before="0" w:after="160" w:line="276" w:lineRule="auto"/>
        <w:jc w:val="both"/>
      </w:pPr>
      <w:r>
        <w:rPr>
          <w:rFonts w:ascii="Times New Roman" w:hAnsi="Times New Roman"/>
          <w:color w:val="000000"/>
          <w:sz w:val="22"/>
        </w:rPr>
        <w:t>view. is it not possible for bahá’í academics to acknowledge the merit of the</w:t>
      </w:r>
    </w:p>
    <w:p>
      <w:pPr>
        <w:spacing w:before="0" w:after="160" w:line="276" w:lineRule="auto"/>
        <w:jc w:val="both"/>
      </w:pPr>
      <w:r>
        <w:rPr>
          <w:rFonts w:ascii="Times New Roman" w:hAnsi="Times New Roman"/>
          <w:color w:val="000000"/>
          <w:sz w:val="22"/>
        </w:rPr>
        <w:t>intention of this temporary requirement and, recognizing the sensitivity of</w:t>
      </w:r>
    </w:p>
    <w:p>
      <w:pPr>
        <w:spacing w:before="0" w:after="160" w:line="276" w:lineRule="auto"/>
        <w:jc w:val="both"/>
      </w:pPr>
      <w:r>
        <w:rPr>
          <w:rFonts w:ascii="Times New Roman" w:hAnsi="Times New Roman"/>
          <w:color w:val="000000"/>
          <w:sz w:val="22"/>
        </w:rPr>
        <w:t>the matter in view of the attitudes of the academic community, assist them-</w:t>
      </w:r>
    </w:p>
    <w:p>
      <w:pPr>
        <w:spacing w:before="0" w:after="160" w:line="276" w:lineRule="auto"/>
        <w:jc w:val="both"/>
      </w:pPr>
      <w:r>
        <w:rPr>
          <w:rFonts w:ascii="Times New Roman" w:hAnsi="Times New Roman"/>
          <w:color w:val="000000"/>
          <w:sz w:val="22"/>
        </w:rPr>
        <w:t>selves and the bahá’í institutions to find a balance between both academic</w:t>
      </w:r>
    </w:p>
    <w:p>
      <w:pPr>
        <w:spacing w:before="0" w:after="160" w:line="276" w:lineRule="auto"/>
        <w:jc w:val="both"/>
      </w:pPr>
      <w:r>
        <w:rPr>
          <w:rFonts w:ascii="Times New Roman" w:hAnsi="Times New Roman"/>
          <w:color w:val="000000"/>
          <w:sz w:val="22"/>
        </w:rPr>
        <w:t>and bahá’í expectations? bahá’í review is not an exercise in censorship; it is</w:t>
      </w:r>
    </w:p>
    <w:p>
      <w:pPr>
        <w:spacing w:before="0" w:after="160" w:line="276" w:lineRule="auto"/>
        <w:jc w:val="both"/>
      </w:pPr>
      <w:r>
        <w:rPr>
          <w:rFonts w:ascii="Times New Roman" w:hAnsi="Times New Roman"/>
          <w:color w:val="000000"/>
          <w:sz w:val="22"/>
        </w:rPr>
        <w:t>in large measure a benefit offered to an author by the bahá’í institutions,</w:t>
      </w:r>
    </w:p>
    <w:p>
      <w:pPr>
        <w:spacing w:before="0" w:after="160" w:line="276" w:lineRule="auto"/>
        <w:jc w:val="both"/>
      </w:pPr>
      <w:r>
        <w:rPr>
          <w:rFonts w:ascii="Times New Roman" w:hAnsi="Times New Roman"/>
          <w:color w:val="000000"/>
          <w:sz w:val="22"/>
        </w:rPr>
        <w:t>which are, in fact, the major repositories of the source materials that ordi-narily constitute the wellspring of the author’s work and are for other reasons the channels of elucidation for a wide range of obscure questions relating to the faith. certainly, a dispassionate exploration by bahá’í scholars of the</w:t>
      </w:r>
    </w:p>
    <w:p>
      <w:pPr>
        <w:spacing w:before="0" w:after="160" w:line="276" w:lineRule="auto"/>
        <w:jc w:val="both"/>
      </w:pPr>
      <w:r>
        <w:rPr>
          <w:rFonts w:ascii="Times New Roman" w:hAnsi="Times New Roman"/>
          <w:color w:val="000000"/>
          <w:sz w:val="22"/>
        </w:rPr>
        <w:t>issues concerning both the academic community and the bahá’í institutions</w:t>
      </w:r>
    </w:p>
    <w:p>
      <w:pPr>
        <w:spacing w:before="0" w:after="160" w:line="276" w:lineRule="auto"/>
        <w:jc w:val="both"/>
      </w:pPr>
      <w:r>
        <w:rPr>
          <w:rFonts w:ascii="Times New Roman" w:hAnsi="Times New Roman"/>
          <w:color w:val="000000"/>
          <w:sz w:val="22"/>
        </w:rPr>
        <w:t>in this matter could result in the formulation of a rationale appropriate to aiding understanding in academic circles as to the nature and necessity of</w:t>
      </w:r>
    </w:p>
    <w:p>
      <w:pPr>
        <w:spacing w:before="0" w:after="160" w:line="276" w:lineRule="auto"/>
        <w:jc w:val="both"/>
      </w:pPr>
      <w:r>
        <w:rPr>
          <w:rFonts w:ascii="Times New Roman" w:hAnsi="Times New Roman"/>
          <w:color w:val="000000"/>
          <w:sz w:val="22"/>
        </w:rPr>
        <w:t>bahá’í review. bahá’í academics, after all, are, first and foremost, believers in</w:t>
      </w:r>
    </w:p>
    <w:p>
      <w:pPr>
        <w:spacing w:before="0" w:after="160" w:line="276" w:lineRule="auto"/>
        <w:jc w:val="both"/>
      </w:pPr>
      <w:r>
        <w:rPr>
          <w:rFonts w:ascii="Times New Roman" w:hAnsi="Times New Roman"/>
          <w:color w:val="000000"/>
          <w:sz w:val="22"/>
        </w:rPr>
        <w:t>the cause of g od and upholders of divine law.</w:t>
      </w:r>
    </w:p>
    <w:p>
      <w:pPr>
        <w:spacing w:before="0" w:after="160" w:line="276" w:lineRule="auto"/>
        <w:jc w:val="both"/>
      </w:pPr>
      <w:r>
        <w:rPr>
          <w:rFonts w:ascii="Times New Roman" w:hAnsi="Times New Roman"/>
          <w:color w:val="000000"/>
          <w:sz w:val="22"/>
        </w:rPr>
        <w:t>The house of justice has acknowledged in the past that the process of</w:t>
      </w:r>
    </w:p>
    <w:p>
      <w:pPr>
        <w:spacing w:before="0" w:after="160" w:line="276" w:lineRule="auto"/>
        <w:jc w:val="both"/>
      </w:pPr>
      <w:r>
        <w:rPr>
          <w:rFonts w:ascii="Times New Roman" w:hAnsi="Times New Roman"/>
          <w:color w:val="000000"/>
          <w:sz w:val="22"/>
        </w:rPr>
        <w:t>review is often irksome, frequently takes far too long and is subject to many problems in implementation. Nevertheless, it is convinced that this is not</w:t>
      </w:r>
    </w:p>
    <w:p>
      <w:pPr>
        <w:spacing w:before="0" w:after="160" w:line="276" w:lineRule="auto"/>
        <w:jc w:val="both"/>
      </w:pPr>
      <w:r>
        <w:rPr>
          <w:rFonts w:ascii="Times New Roman" w:hAnsi="Times New Roman"/>
          <w:color w:val="000000"/>
          <w:sz w:val="22"/>
        </w:rPr>
        <w:t>the time to remove this temporary procedure. National Spiritual Assemblies responsible for administering the reviewing procedure have been urged to do all they can to improve and expedite its operation, and efforts are con-</w:t>
      </w:r>
    </w:p>
    <w:p>
      <w:pPr>
        <w:spacing w:before="0" w:after="160" w:line="276" w:lineRule="auto"/>
        <w:jc w:val="both"/>
      </w:pPr>
      <w:r>
        <w:rPr>
          <w:rFonts w:ascii="Times New Roman" w:hAnsi="Times New Roman"/>
          <w:color w:val="000000"/>
          <w:sz w:val="22"/>
        </w:rPr>
        <w:t>tinually being made to this end. The house of justice looks forward to the</w:t>
      </w:r>
    </w:p>
    <w:p>
      <w:pPr>
        <w:spacing w:before="0" w:after="160" w:line="276" w:lineRule="auto"/>
        <w:jc w:val="both"/>
      </w:pPr>
      <w:r>
        <w:rPr>
          <w:rFonts w:ascii="Times New Roman" w:hAnsi="Times New Roman"/>
          <w:color w:val="000000"/>
          <w:sz w:val="22"/>
        </w:rPr>
        <w:t>day when this requirement will be definitely removed; in the meantime it</w:t>
      </w:r>
    </w:p>
    <w:p>
      <w:pPr>
        <w:spacing w:before="0" w:after="160" w:line="276" w:lineRule="auto"/>
        <w:jc w:val="both"/>
      </w:pPr>
      <w:r>
        <w:rPr>
          <w:rFonts w:ascii="Times New Roman" w:hAnsi="Times New Roman"/>
          <w:color w:val="000000"/>
          <w:sz w:val="22"/>
        </w:rPr>
        <w:t>may well be modified as conditions change.</w:t>
      </w:r>
    </w:p>
    <w:p>
      <w:pPr>
        <w:spacing w:before="0" w:after="160" w:line="276" w:lineRule="auto"/>
        <w:jc w:val="both"/>
      </w:pPr>
      <w:r>
        <w:rPr>
          <w:rFonts w:ascii="Times New Roman" w:hAnsi="Times New Roman"/>
          <w:color w:val="000000"/>
          <w:sz w:val="22"/>
        </w:rPr>
        <w:t>with regard to your particular concerns, there is nothing in the current</w:t>
      </w:r>
    </w:p>
    <w:p>
      <w:pPr>
        <w:spacing w:before="0" w:after="160" w:line="276" w:lineRule="auto"/>
        <w:jc w:val="both"/>
      </w:pPr>
      <w:r>
        <w:rPr>
          <w:rFonts w:ascii="Times New Roman" w:hAnsi="Times New Roman"/>
          <w:color w:val="000000"/>
          <w:sz w:val="22"/>
        </w:rPr>
        <w:t>regulations that would prevent a scholar who has written a work to recom-mend to the National Spiritual Assembly one or more individuals whom he 118.6</w:t>
      </w:r>
    </w:p>
    <w:p>
      <w:pPr>
        <w:spacing w:before="280" w:after="120"/>
        <w:jc w:val="left"/>
      </w:pPr>
      <w:r>
        <w:rPr>
          <w:rFonts w:ascii="Times New Roman" w:hAnsi="Times New Roman"/>
          <w:b/>
          <w:color w:val="000000"/>
          <w:sz w:val="22"/>
        </w:rPr>
        <w:t>118.7</w:t>
      </w:r>
    </w:p>
    <w:p>
      <w:pPr>
        <w:spacing w:before="280" w:after="120"/>
        <w:jc w:val="left"/>
      </w:pPr>
      <w:r>
        <w:rPr>
          <w:rFonts w:ascii="Times New Roman" w:hAnsi="Times New Roman"/>
          <w:b/>
          <w:color w:val="000000"/>
          <w:sz w:val="22"/>
        </w:rPr>
        <w:t>118.8</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2would like to see included among the reviewers selected by the Assembly.</w:t>
      </w:r>
    </w:p>
    <w:p>
      <w:pPr>
        <w:spacing w:before="0" w:after="160" w:line="276" w:lineRule="auto"/>
        <w:jc w:val="both"/>
      </w:pPr>
      <w:r>
        <w:rPr>
          <w:rFonts w:ascii="Times New Roman" w:hAnsi="Times New Roman"/>
          <w:color w:val="000000"/>
          <w:sz w:val="22"/>
        </w:rPr>
        <w:t>This approach offers the author a way of satisfying himself that he has had</w:t>
      </w:r>
    </w:p>
    <w:p>
      <w:pPr>
        <w:spacing w:before="0" w:after="160" w:line="276" w:lineRule="auto"/>
        <w:jc w:val="both"/>
      </w:pPr>
      <w:r>
        <w:rPr>
          <w:rFonts w:ascii="Times New Roman" w:hAnsi="Times New Roman"/>
          <w:color w:val="000000"/>
          <w:sz w:val="22"/>
        </w:rPr>
        <w:t>a direct part in the arrangement for review, and he can take confidence that</w:t>
      </w:r>
    </w:p>
    <w:p>
      <w:pPr>
        <w:spacing w:before="0" w:after="160" w:line="276" w:lineRule="auto"/>
        <w:jc w:val="both"/>
      </w:pPr>
      <w:r>
        <w:rPr>
          <w:rFonts w:ascii="Times New Roman" w:hAnsi="Times New Roman"/>
          <w:color w:val="000000"/>
          <w:sz w:val="22"/>
        </w:rPr>
        <w:t>some measure of peer review has been invested in the procedure.</w:t>
      </w:r>
    </w:p>
    <w:p>
      <w:pPr>
        <w:spacing w:before="0" w:after="160" w:line="276" w:lineRule="auto"/>
        <w:jc w:val="both"/>
      </w:pPr>
      <w:r>
        <w:rPr>
          <w:rFonts w:ascii="Times New Roman" w:hAnsi="Times New Roman"/>
          <w:color w:val="000000"/>
          <w:sz w:val="22"/>
        </w:rPr>
        <w:t>The house of justice trusts that this procedure will reduce your concerns</w:t>
      </w:r>
    </w:p>
    <w:p>
      <w:pPr>
        <w:spacing w:before="0" w:after="160" w:line="276" w:lineRule="auto"/>
        <w:jc w:val="both"/>
      </w:pPr>
      <w:r>
        <w:rPr>
          <w:rFonts w:ascii="Times New Roman" w:hAnsi="Times New Roman"/>
          <w:color w:val="000000"/>
          <w:sz w:val="22"/>
        </w:rPr>
        <w:t>and assures you of its prayers on your behalf in the h oly Shrines.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119</w:t>
      </w:r>
    </w:p>
    <w:p>
      <w:pPr>
        <w:spacing w:before="0" w:after="160" w:line="276" w:lineRule="auto"/>
        <w:jc w:val="both"/>
      </w:pPr>
      <w:r>
        <w:rPr>
          <w:rFonts w:ascii="Times New Roman" w:hAnsi="Times New Roman"/>
          <w:color w:val="000000"/>
          <w:sz w:val="22"/>
        </w:rPr>
        <w:t>Selecting Reviewers for Bahá’í Manuscripts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(1991-10-28)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