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1992-06-24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you are already aware from previous communications, the bahá’í holy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places and other properties and endowments belonging to the bahá’í com-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munity of iran are still under government control. many have been desecrat-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ed or demolished and the sites used for constructing roads or other buildings.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Among these confiscated properties was the once beautiful and well-kept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cemetery in Tehran. it has been desecrated and the headstones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marble coverings of the graves were removed and later sold in auctions. All identification marks on the graves were obliterated, and a school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playground are being built on this site.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bahá’í community had owned a large piece of property to the south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Tehran which was intended for use as the future cemetery of the Tehran 132.1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133.1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133.2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133.3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282bahá’í community. This was also confiscated and all petitions to regain 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have been fruitless. instead, a small, barren piece of land without any public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service or utilities was assigned to the bahá’ís of Tehran by the iranian gov-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ernment for use as a burial site for their dead. however, neither headstones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nor any identification of the individual graves are permitted on that site.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bahá’í friend living in the united States, who visited iran in october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1991, has described it as very depressing. The bodies of the dead have to be prepared for burial at home or water has to be fetched for that purpose from a christian cemetery in the neighborhood. . .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should be recalled that most of the bahá’í cemeteries in iran have been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desecrated or demolished and that thousands of bahá’ís who wish to visit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these cemeteries in order to pray for their departed relatives are either denied access, or they return with grieved hearts after witnessing the deplorable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condition of the graves of their loved ones. moreover, many of the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martyrs executed in prison have been buried in areas not even known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relatives.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134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Murder of a Bahá’í in Iran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selected National Spiritual Assemblies</dc:title>
  <dc:subject>Bahá'í Guidance (1992-06-24)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