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1992-11-11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beloved f 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conscious of the increasing burden of advancing years and the effect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this on the services they can render, mr. hugh e. chance and dr. david 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ruhe have, after prayerful consideration of the best interests of the cause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god, requested permission to relinquish their membership on the universal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house of j ustice, in accordance with Article v .2.(c) of its constitution.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house of justice has regretfully accepted the resignation of these be-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loved members, who have rendered highly valued services in the holy land,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since 1963 in mr. chance’s case, and since 1968 in that of dr. ruhe. They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will thus be able to continue their services to the cause of god free from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inexorable pressure of work at the world center. in view, however,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imminence of the next international election, we have requested them to remain in office until that time, and to this they have readily agreed.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141-2. See muhj, no. 37 .141.9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141.10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142.1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142.2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1992–1993  •  T h e  h o l Y Ye a 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0143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Message to the Participants of the First National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Congress of the Bahá’ís of Bangladesh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(1992-11-11)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