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1992-12-03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world congress held in New york, the second major event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holy year, ended on the day of the covenant in a blaze of celestial glo-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ry. far exceeding the brightest expectation anyone might have entertained,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was a triumph of the spirit in which, on all continents, the friends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magnificent diversity witnessed a solidarity of the bahá’í world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a level new to their experience. our hearts have not the capacity to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tain, nor our minds the language to express, our joy and gratitude at the conspicuous outpouring of divine confirmations which made possible such a spectacular celebration and proclamation of the covenant of b 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unity engendered among the 27,000 multifarious participants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almost 180 countries evinced a new dynamic, which signifies a stage of evolvement of the faith which was not evident before. we noted with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mense gratification the magnetic and transformative effects of this mani-festation of unity arising from a quality of personal conduct which, on such a vast, collective scale as was realized at the world congress, certainly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indicated the new stature of a people becoming seasoned in the truths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virtues of the revelation of bahá’u’lláh; and in this we recognize one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enduring gifts of the h oly y ear.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for those who devoted their specialized talents and expertise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 the programmatic and logistical challenges of this conglomerate occasion, and the thousands of eager volunteers who staffed the event,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admiration and loving appreciation know no bounds.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vitalized by such evidences of the potency of the covenant as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gress displayed, may the followers of bahá’u’lláh, wherever they reside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whatever their personal circumstances, derive fresh courage and demon-strate new determination in carrying forward the momentum so magnifi-cently reinforced by the astounding success of the proclamation raised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city of the covenant.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146.4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15147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Establishment of an Office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Advancement of Women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(1992-12-03)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